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bottom w:val="single" w:sz="4" w:space="0" w:color="333333"/>
        </w:tblBorders>
        <w:tblLook w:val="00A0" w:firstRow="1" w:lastRow="0" w:firstColumn="1" w:lastColumn="0" w:noHBand="0" w:noVBand="0"/>
      </w:tblPr>
      <w:tblGrid>
        <w:gridCol w:w="1417"/>
        <w:gridCol w:w="5164"/>
        <w:gridCol w:w="2939"/>
      </w:tblGrid>
      <w:tr w:rsidR="0026296D" w:rsidRPr="00264FC1" w14:paraId="1A521B07" w14:textId="77777777" w:rsidTr="00210727">
        <w:trPr>
          <w:trHeight w:hRule="exact" w:val="397"/>
        </w:trPr>
        <w:tc>
          <w:tcPr>
            <w:tcW w:w="144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14:paraId="09477226" w14:textId="77777777" w:rsidR="0026296D" w:rsidRDefault="0026296D" w:rsidP="00210727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045BFC8C" wp14:editId="57F428CD">
                  <wp:extent cx="702310" cy="914400"/>
                  <wp:effectExtent l="0" t="0" r="0" b="0"/>
                  <wp:docPr id="6" name="Immagine 6" descr="logo_BellinzagoLombardo_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llinzagoLombardo_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333333"/>
              <w:bottom w:val="nil"/>
            </w:tcBorders>
            <w:shd w:val="clear" w:color="auto" w:fill="auto"/>
            <w:vAlign w:val="center"/>
          </w:tcPr>
          <w:p w14:paraId="14F2D1D5" w14:textId="77777777" w:rsidR="0026296D" w:rsidRPr="00264FC1" w:rsidRDefault="0026296D" w:rsidP="00210727">
            <w:pPr>
              <w:pStyle w:val="Intestazione"/>
              <w:rPr>
                <w:sz w:val="32"/>
                <w:szCs w:val="32"/>
              </w:rPr>
            </w:pPr>
            <w:r w:rsidRPr="00BF78CC">
              <w:rPr>
                <w:b/>
                <w:bCs/>
                <w:i/>
                <w:iCs/>
                <w:color w:val="333333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di Bellinzago Lombardo</w:t>
            </w:r>
          </w:p>
        </w:tc>
        <w:tc>
          <w:tcPr>
            <w:tcW w:w="3600" w:type="dxa"/>
            <w:vMerge w:val="restart"/>
            <w:tcBorders>
              <w:top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2688A6E" w14:textId="77777777" w:rsidR="0026296D" w:rsidRPr="00264FC1" w:rsidRDefault="0026296D" w:rsidP="00210727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cs="Tahoma"/>
                <w:b/>
                <w:bCs/>
                <w:color w:val="333333"/>
                <w:sz w:val="20"/>
              </w:rPr>
            </w:pPr>
          </w:p>
          <w:p w14:paraId="3F9384B0" w14:textId="77777777" w:rsidR="0026296D" w:rsidRPr="00264FC1" w:rsidRDefault="0026296D" w:rsidP="00210727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cs="Tahoma"/>
                <w:color w:val="333333"/>
                <w:sz w:val="20"/>
              </w:rPr>
            </w:pPr>
            <w:r w:rsidRPr="00264FC1">
              <w:rPr>
                <w:rFonts w:cs="Tahoma"/>
                <w:color w:val="333333"/>
                <w:sz w:val="20"/>
              </w:rPr>
              <w:t xml:space="preserve"> </w:t>
            </w:r>
          </w:p>
          <w:p w14:paraId="19562EE7" w14:textId="77777777" w:rsidR="0026296D" w:rsidRPr="00BF78CC" w:rsidRDefault="0026296D" w:rsidP="00210727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  <w:bCs/>
                <w:i/>
                <w:iCs/>
                <w:color w:val="3333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6296D" w14:paraId="7E0265D4" w14:textId="77777777" w:rsidTr="00210727">
        <w:trPr>
          <w:trHeight w:hRule="exact" w:val="39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333333"/>
            </w:tcBorders>
            <w:shd w:val="clear" w:color="auto" w:fill="auto"/>
            <w:vAlign w:val="center"/>
          </w:tcPr>
          <w:p w14:paraId="5AE39D7B" w14:textId="77777777" w:rsidR="0026296D" w:rsidRDefault="0026296D" w:rsidP="00210727">
            <w:pPr>
              <w:pStyle w:val="Intestazione"/>
            </w:pP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691D4B87" w14:textId="77777777" w:rsidR="0026296D" w:rsidRPr="00264FC1" w:rsidRDefault="0026296D" w:rsidP="00210727">
            <w:pPr>
              <w:pStyle w:val="Intestazione"/>
              <w:rPr>
                <w:b/>
                <w:i/>
              </w:rPr>
            </w:pPr>
            <w:r w:rsidRPr="00BF78CC">
              <w:rPr>
                <w:b/>
                <w:bCs/>
                <w:i/>
                <w:iCs/>
                <w:color w:val="3333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UCL Adda Martesana- Città </w:t>
            </w:r>
            <w:proofErr w:type="spellStart"/>
            <w:r w:rsidRPr="00BF78CC">
              <w:rPr>
                <w:b/>
                <w:bCs/>
                <w:i/>
                <w:iCs/>
                <w:color w:val="3333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Metropolitanadi</w:t>
            </w:r>
            <w:proofErr w:type="spellEnd"/>
            <w:r w:rsidRPr="00BF78CC">
              <w:rPr>
                <w:b/>
                <w:bCs/>
                <w:i/>
                <w:iCs/>
                <w:color w:val="3333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Milano</w:t>
            </w:r>
          </w:p>
        </w:tc>
        <w:tc>
          <w:tcPr>
            <w:tcW w:w="3600" w:type="dxa"/>
            <w:vMerge/>
            <w:tcBorders>
              <w:top w:val="single" w:sz="4" w:space="0" w:color="auto"/>
              <w:right w:val="single" w:sz="4" w:space="0" w:color="333333"/>
            </w:tcBorders>
            <w:shd w:val="clear" w:color="auto" w:fill="auto"/>
          </w:tcPr>
          <w:p w14:paraId="23E75DB3" w14:textId="77777777" w:rsidR="0026296D" w:rsidRPr="00BF78CC" w:rsidRDefault="0026296D" w:rsidP="00210727">
            <w:pPr>
              <w:pStyle w:val="Intestazione"/>
              <w:rPr>
                <w:b/>
                <w:bCs/>
                <w:i/>
                <w:iCs/>
                <w:color w:val="333333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6296D" w14:paraId="169AC457" w14:textId="77777777" w:rsidTr="00210727">
        <w:trPr>
          <w:trHeight w:val="81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333333"/>
            </w:tcBorders>
            <w:shd w:val="clear" w:color="auto" w:fill="auto"/>
            <w:vAlign w:val="center"/>
          </w:tcPr>
          <w:p w14:paraId="3D0972FF" w14:textId="77777777" w:rsidR="0026296D" w:rsidRDefault="0026296D" w:rsidP="00210727">
            <w:pPr>
              <w:pStyle w:val="Intestazione"/>
            </w:pP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2E8D7994" w14:textId="77777777" w:rsidR="0026296D" w:rsidRPr="00264FC1" w:rsidRDefault="0026296D" w:rsidP="00210727">
            <w:pPr>
              <w:pStyle w:val="Intestazione"/>
              <w:rPr>
                <w:i/>
                <w:sz w:val="20"/>
                <w:szCs w:val="20"/>
              </w:rPr>
            </w:pPr>
            <w:r w:rsidRPr="00264FC1">
              <w:rPr>
                <w:i/>
                <w:sz w:val="20"/>
                <w:szCs w:val="20"/>
              </w:rPr>
              <w:t xml:space="preserve">Via Roma, 46 </w:t>
            </w:r>
            <w:r>
              <w:rPr>
                <w:i/>
                <w:sz w:val="20"/>
                <w:szCs w:val="20"/>
              </w:rPr>
              <w:t xml:space="preserve">– </w:t>
            </w:r>
            <w:proofErr w:type="spellStart"/>
            <w:r>
              <w:rPr>
                <w:i/>
                <w:sz w:val="20"/>
                <w:szCs w:val="20"/>
              </w:rPr>
              <w:t>cap</w:t>
            </w:r>
            <w:proofErr w:type="spellEnd"/>
            <w:r>
              <w:rPr>
                <w:i/>
                <w:sz w:val="20"/>
                <w:szCs w:val="20"/>
              </w:rPr>
              <w:t xml:space="preserve"> 20060 – Tel. 02-9538501 </w:t>
            </w:r>
          </w:p>
          <w:p w14:paraId="047DED8C" w14:textId="77777777" w:rsidR="0026296D" w:rsidRDefault="0026296D" w:rsidP="00210727">
            <w:pPr>
              <w:pStyle w:val="Intestazione"/>
              <w:rPr>
                <w:i/>
                <w:sz w:val="20"/>
                <w:szCs w:val="20"/>
              </w:rPr>
            </w:pPr>
            <w:r w:rsidRPr="00264FC1">
              <w:rPr>
                <w:i/>
                <w:sz w:val="20"/>
                <w:szCs w:val="20"/>
              </w:rPr>
              <w:t xml:space="preserve">C.F. P.IVA 01554230159 </w:t>
            </w:r>
          </w:p>
          <w:p w14:paraId="6E0ED1F9" w14:textId="77777777" w:rsidR="0026296D" w:rsidRDefault="0026296D" w:rsidP="00210727">
            <w:pPr>
              <w:pStyle w:val="Intestazione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Pec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hyperlink r:id="rId12" w:history="1">
              <w:r w:rsidRPr="003A7A17">
                <w:rPr>
                  <w:rStyle w:val="Collegamentoipertestuale"/>
                  <w:i/>
                  <w:sz w:val="20"/>
                  <w:szCs w:val="20"/>
                </w:rPr>
                <w:t>protocollo.bellinzagolombardo@pec.it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</w:p>
          <w:p w14:paraId="499A2D8D" w14:textId="77777777" w:rsidR="0026296D" w:rsidRPr="00264FC1" w:rsidRDefault="0026296D" w:rsidP="00210727">
            <w:pPr>
              <w:pStyle w:val="Intestazione"/>
              <w:rPr>
                <w:i/>
                <w:sz w:val="20"/>
                <w:szCs w:val="20"/>
              </w:rPr>
            </w:pPr>
            <w:r w:rsidRPr="00264FC1">
              <w:rPr>
                <w:i/>
                <w:sz w:val="20"/>
                <w:szCs w:val="20"/>
              </w:rPr>
              <w:t>e-mail</w:t>
            </w:r>
            <w:r>
              <w:rPr>
                <w:i/>
                <w:sz w:val="20"/>
                <w:szCs w:val="20"/>
              </w:rPr>
              <w:t xml:space="preserve">: </w:t>
            </w:r>
            <w:hyperlink r:id="rId13" w:history="1">
              <w:r w:rsidRPr="0094160B">
                <w:rPr>
                  <w:rStyle w:val="Collegamentoipertestuale"/>
                  <w:i/>
                  <w:sz w:val="20"/>
                  <w:szCs w:val="20"/>
                </w:rPr>
                <w:t>segreteria.bellinzagolombardo@unioneaddamartesana..it</w:t>
              </w:r>
            </w:hyperlink>
          </w:p>
          <w:p w14:paraId="3AD249DF" w14:textId="77777777" w:rsidR="0026296D" w:rsidRPr="00264FC1" w:rsidRDefault="0026296D" w:rsidP="00210727">
            <w:pPr>
              <w:pStyle w:val="Titolo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4FC1">
              <w:rPr>
                <w:rFonts w:ascii="Arial Narrow" w:hAnsi="Arial Narrow"/>
                <w:sz w:val="20"/>
                <w:szCs w:val="20"/>
              </w:rPr>
              <w:t xml:space="preserve">sito: </w:t>
            </w:r>
            <w:hyperlink r:id="rId14" w:history="1">
              <w:r w:rsidRPr="00C332EC">
                <w:rPr>
                  <w:rStyle w:val="Collegamentoipertestuale"/>
                  <w:sz w:val="20"/>
                  <w:szCs w:val="20"/>
                </w:rPr>
                <w:t>www.comune.bellinzagolombardo.mi.it</w:t>
              </w:r>
            </w:hyperlink>
          </w:p>
          <w:p w14:paraId="3068CD13" w14:textId="77777777" w:rsidR="0026296D" w:rsidRPr="007073A3" w:rsidRDefault="0026296D" w:rsidP="00210727"/>
        </w:tc>
        <w:tc>
          <w:tcPr>
            <w:tcW w:w="3600" w:type="dxa"/>
            <w:vMerge/>
            <w:tcBorders>
              <w:top w:val="single" w:sz="4" w:space="0" w:color="auto"/>
              <w:right w:val="single" w:sz="4" w:space="0" w:color="333333"/>
            </w:tcBorders>
            <w:shd w:val="clear" w:color="auto" w:fill="auto"/>
          </w:tcPr>
          <w:p w14:paraId="3F901C4E" w14:textId="77777777" w:rsidR="0026296D" w:rsidRPr="00BF78CC" w:rsidRDefault="0026296D" w:rsidP="00210727">
            <w:pPr>
              <w:pStyle w:val="Intestazione"/>
              <w:rPr>
                <w:b/>
                <w:bCs/>
                <w:i/>
                <w:iCs/>
                <w:color w:val="333333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A6AF594" w14:textId="77777777" w:rsidR="0026296D" w:rsidRDefault="0026296D" w:rsidP="0026296D">
      <w:pPr>
        <w:pStyle w:val="Intestazione"/>
      </w:pPr>
    </w:p>
    <w:p w14:paraId="393F02C7" w14:textId="77777777" w:rsidR="003B4794" w:rsidRPr="006B1E21" w:rsidRDefault="003B4794" w:rsidP="00F559EB">
      <w:pPr>
        <w:jc w:val="both"/>
        <w:rPr>
          <w:b/>
          <w:u w:val="single"/>
        </w:rPr>
      </w:pPr>
    </w:p>
    <w:p w14:paraId="415A5E44" w14:textId="77777777" w:rsidR="003B4794" w:rsidRPr="006B1E21" w:rsidRDefault="003B4794" w:rsidP="00F559EB">
      <w:pPr>
        <w:jc w:val="both"/>
        <w:rPr>
          <w:b/>
          <w:u w:val="single"/>
        </w:rPr>
      </w:pPr>
    </w:p>
    <w:p w14:paraId="42DF259A" w14:textId="77777777" w:rsidR="003B4794" w:rsidRPr="006B1E21" w:rsidRDefault="003B4794" w:rsidP="00F559EB">
      <w:pPr>
        <w:jc w:val="both"/>
        <w:rPr>
          <w:b/>
          <w:u w:val="single"/>
        </w:rPr>
      </w:pPr>
    </w:p>
    <w:p w14:paraId="05B2690E" w14:textId="77777777" w:rsidR="003B4794" w:rsidRPr="006B1E21" w:rsidRDefault="003B4794" w:rsidP="00F559EB">
      <w:pPr>
        <w:jc w:val="both"/>
        <w:rPr>
          <w:b/>
          <w:sz w:val="40"/>
          <w:szCs w:val="40"/>
          <w:u w:val="single"/>
        </w:rPr>
      </w:pPr>
    </w:p>
    <w:p w14:paraId="2874E4FA" w14:textId="52D66DEF" w:rsidR="003B4794" w:rsidRPr="006B1E21" w:rsidRDefault="003B4794" w:rsidP="00F559EB">
      <w:pPr>
        <w:jc w:val="both"/>
        <w:rPr>
          <w:rFonts w:cstheme="minorHAnsi"/>
          <w:b/>
          <w:sz w:val="40"/>
          <w:szCs w:val="40"/>
        </w:rPr>
      </w:pPr>
      <w:r w:rsidRPr="006B1E21">
        <w:rPr>
          <w:rFonts w:cstheme="minorHAnsi"/>
          <w:b/>
          <w:sz w:val="40"/>
          <w:szCs w:val="40"/>
        </w:rPr>
        <w:t xml:space="preserve">Relazione </w:t>
      </w:r>
      <w:r w:rsidRPr="00DA75EC">
        <w:rPr>
          <w:rFonts w:cstheme="minorHAnsi"/>
          <w:b/>
          <w:sz w:val="40"/>
          <w:szCs w:val="40"/>
        </w:rPr>
        <w:t xml:space="preserve">illustrativa delle ragioni e della sussistenza </w:t>
      </w:r>
      <w:r w:rsidR="00BA52FE" w:rsidRPr="00DA75EC">
        <w:rPr>
          <w:rFonts w:cstheme="minorHAnsi"/>
          <w:b/>
          <w:sz w:val="40"/>
          <w:szCs w:val="40"/>
        </w:rPr>
        <w:t xml:space="preserve">dei requisiti previsti per la forma di affidamento prescelta </w:t>
      </w:r>
      <w:r w:rsidR="00A457B1" w:rsidRPr="00DA75EC">
        <w:rPr>
          <w:rFonts w:cstheme="minorHAnsi"/>
          <w:b/>
          <w:sz w:val="40"/>
          <w:szCs w:val="40"/>
        </w:rPr>
        <w:br/>
      </w:r>
      <w:r w:rsidR="00BA52FE" w:rsidRPr="00DA75EC">
        <w:rPr>
          <w:rFonts w:cstheme="minorHAnsi"/>
          <w:b/>
          <w:sz w:val="40"/>
          <w:szCs w:val="40"/>
        </w:rPr>
        <w:t xml:space="preserve">(ex </w:t>
      </w:r>
      <w:r w:rsidR="00CA26C0" w:rsidRPr="00DA75EC">
        <w:rPr>
          <w:rFonts w:cstheme="minorHAnsi"/>
          <w:b/>
          <w:sz w:val="40"/>
          <w:szCs w:val="40"/>
        </w:rPr>
        <w:t>art. 14 comma 3 D. Lgs. 201/2022</w:t>
      </w:r>
      <w:r w:rsidR="00BA52FE" w:rsidRPr="00DA75EC">
        <w:rPr>
          <w:rFonts w:cstheme="minorHAnsi"/>
          <w:b/>
          <w:sz w:val="40"/>
          <w:szCs w:val="40"/>
        </w:rPr>
        <w:t>)</w:t>
      </w:r>
    </w:p>
    <w:p w14:paraId="278108B7" w14:textId="77777777" w:rsidR="003B4794" w:rsidRPr="006B1E21" w:rsidRDefault="003B4794" w:rsidP="00F559EB">
      <w:pPr>
        <w:jc w:val="both"/>
        <w:rPr>
          <w:b/>
          <w:u w:val="single"/>
        </w:rPr>
      </w:pPr>
    </w:p>
    <w:p w14:paraId="1C38094F" w14:textId="77777777" w:rsidR="003C1B34" w:rsidRPr="006B1E21" w:rsidRDefault="003C1B34" w:rsidP="00F559EB">
      <w:pPr>
        <w:jc w:val="both"/>
        <w:rPr>
          <w:b/>
          <w:u w:val="single"/>
        </w:rPr>
        <w:sectPr w:rsidR="003C1B34" w:rsidRPr="006B1E2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CC9D159" w14:textId="77777777" w:rsidR="003B4794" w:rsidRPr="006B1E21" w:rsidRDefault="003B4794" w:rsidP="00F559EB">
      <w:pPr>
        <w:jc w:val="both"/>
        <w:rPr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942"/>
      </w:tblGrid>
      <w:tr w:rsidR="006B1E21" w:rsidRPr="006B1E21" w14:paraId="6FC96F08" w14:textId="77777777" w:rsidTr="0082631E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55711F45" w14:textId="77777777" w:rsidR="00C15208" w:rsidRPr="006B1E21" w:rsidRDefault="00C15208" w:rsidP="00F559EB">
            <w:pPr>
              <w:jc w:val="both"/>
              <w:rPr>
                <w:b/>
              </w:rPr>
            </w:pPr>
            <w:r w:rsidRPr="006B1E21">
              <w:rPr>
                <w:b/>
              </w:rPr>
              <w:t>INFORMAZIONI DI SINTESI</w:t>
            </w:r>
          </w:p>
        </w:tc>
      </w:tr>
      <w:tr w:rsidR="006B1E21" w:rsidRPr="006B1E21" w14:paraId="798441D2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55D" w14:textId="77777777" w:rsidR="00C15208" w:rsidRPr="006B1E21" w:rsidRDefault="00C15208" w:rsidP="00F559EB">
            <w:pPr>
              <w:jc w:val="both"/>
            </w:pPr>
            <w:r w:rsidRPr="006B1E21">
              <w:t>Oggetto dell’affidamento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F336" w14:textId="77777777" w:rsidR="00C15208" w:rsidRPr="006B1E21" w:rsidRDefault="00D50C1E" w:rsidP="00F559EB">
            <w:pPr>
              <w:jc w:val="both"/>
            </w:pPr>
            <w:r w:rsidRPr="006B1E21">
              <w:t>Servizio di illuminazione pubblica</w:t>
            </w:r>
          </w:p>
        </w:tc>
      </w:tr>
      <w:tr w:rsidR="006B1E21" w:rsidRPr="006B1E21" w14:paraId="2292C71B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202" w14:textId="77777777" w:rsidR="009C2338" w:rsidRPr="006B1E21" w:rsidRDefault="009C2338" w:rsidP="00F559EB">
            <w:pPr>
              <w:jc w:val="both"/>
            </w:pPr>
            <w:r w:rsidRPr="006B1E21">
              <w:t>Ente affidante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F626" w14:textId="5262579E" w:rsidR="009C2338" w:rsidRPr="006B1E21" w:rsidRDefault="00D50C1E" w:rsidP="00F559EB">
            <w:pPr>
              <w:jc w:val="both"/>
            </w:pPr>
            <w:r w:rsidRPr="006B1E21">
              <w:t xml:space="preserve">Comune di </w:t>
            </w:r>
            <w:r w:rsidR="00F24705">
              <w:t>BELLINZAGO LOMBARDO</w:t>
            </w:r>
          </w:p>
        </w:tc>
      </w:tr>
      <w:tr w:rsidR="006B1E21" w:rsidRPr="006B1E21" w14:paraId="28274659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C3B" w14:textId="77777777" w:rsidR="009C2338" w:rsidRPr="006B1E21" w:rsidRDefault="009C2338" w:rsidP="00F559EB">
            <w:pPr>
              <w:jc w:val="both"/>
            </w:pPr>
            <w:r w:rsidRPr="006B1E21">
              <w:t xml:space="preserve">Tipo di affidamento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20D4" w14:textId="77777777" w:rsidR="009C2338" w:rsidRPr="006B1E21" w:rsidRDefault="00D50C1E" w:rsidP="00F559EB">
            <w:pPr>
              <w:jc w:val="both"/>
            </w:pPr>
            <w:r w:rsidRPr="006B1E21">
              <w:t>Concessione/contratto di servizio</w:t>
            </w:r>
          </w:p>
        </w:tc>
      </w:tr>
      <w:tr w:rsidR="006B1E21" w:rsidRPr="006B1E21" w14:paraId="245CE228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C4D" w14:textId="77777777" w:rsidR="009C2338" w:rsidRPr="006B1E21" w:rsidRDefault="009C2338" w:rsidP="00F559EB">
            <w:pPr>
              <w:jc w:val="both"/>
            </w:pPr>
            <w:r w:rsidRPr="006B1E21">
              <w:t xml:space="preserve">Modalità di affidamento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F2E4" w14:textId="77777777" w:rsidR="009C2338" w:rsidRPr="006B1E21" w:rsidRDefault="00D50C1E" w:rsidP="00F559EB">
            <w:pPr>
              <w:jc w:val="both"/>
            </w:pPr>
            <w:r w:rsidRPr="006B1E21">
              <w:t xml:space="preserve">Affidamento diretto a società </w:t>
            </w:r>
            <w:r w:rsidRPr="006B1E21">
              <w:rPr>
                <w:i/>
              </w:rPr>
              <w:t>in house</w:t>
            </w:r>
          </w:p>
        </w:tc>
      </w:tr>
      <w:tr w:rsidR="006B1E21" w:rsidRPr="006B1E21" w14:paraId="3A9C2B14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D65" w14:textId="77777777" w:rsidR="009C2338" w:rsidRPr="006B1E21" w:rsidRDefault="009C2338" w:rsidP="00F559EB">
            <w:pPr>
              <w:jc w:val="both"/>
            </w:pPr>
            <w:r w:rsidRPr="006B1E21">
              <w:t>Durata del contratto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1C64" w14:textId="6E918E09" w:rsidR="009C2338" w:rsidRPr="006B1E21" w:rsidRDefault="00F24705" w:rsidP="00F559EB">
            <w:pPr>
              <w:jc w:val="both"/>
            </w:pPr>
            <w:r>
              <w:t xml:space="preserve">15 </w:t>
            </w:r>
            <w:r w:rsidR="00D50C1E" w:rsidRPr="006B1E21">
              <w:t>anni</w:t>
            </w:r>
          </w:p>
        </w:tc>
      </w:tr>
      <w:tr w:rsidR="006B1E21" w:rsidRPr="006B1E21" w14:paraId="2165570B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76C2" w14:textId="77777777" w:rsidR="009C2338" w:rsidRPr="006B1E21" w:rsidRDefault="003225E2" w:rsidP="00F559EB">
            <w:pPr>
              <w:jc w:val="both"/>
            </w:pPr>
            <w:r w:rsidRPr="006B1E21">
              <w:t>Specificare se n</w:t>
            </w:r>
            <w:r w:rsidR="009C2338" w:rsidRPr="006B1E21">
              <w:t xml:space="preserve">uovo affidamento </w:t>
            </w:r>
            <w:r w:rsidRPr="006B1E21">
              <w:t>o adeguamento di servizio già attivo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B7CF" w14:textId="77777777" w:rsidR="009C2338" w:rsidRPr="006B1E21" w:rsidRDefault="00D50C1E" w:rsidP="00F559EB">
            <w:pPr>
              <w:jc w:val="both"/>
            </w:pPr>
            <w:r w:rsidRPr="006B1E21">
              <w:t>Nuovo affidamento</w:t>
            </w:r>
          </w:p>
        </w:tc>
      </w:tr>
      <w:tr w:rsidR="006B1E21" w:rsidRPr="006B1E21" w14:paraId="55D145AF" w14:textId="77777777" w:rsidTr="00F559EB">
        <w:trPr>
          <w:trHeight w:val="5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87A" w14:textId="77777777" w:rsidR="00286BD3" w:rsidRPr="006B1E21" w:rsidRDefault="009C2338" w:rsidP="00F559EB">
            <w:pPr>
              <w:jc w:val="both"/>
            </w:pPr>
            <w:r w:rsidRPr="006B1E21">
              <w:t xml:space="preserve">Territorio interessato dal </w:t>
            </w:r>
            <w:r w:rsidR="0082631E" w:rsidRPr="006B1E21">
              <w:t>servizio affidato o da affidare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151A" w14:textId="491BFE5C" w:rsidR="009C2338" w:rsidRPr="006B1E21" w:rsidRDefault="00D50C1E" w:rsidP="00F559EB">
            <w:pPr>
              <w:jc w:val="both"/>
            </w:pPr>
            <w:r w:rsidRPr="006B1E21">
              <w:t xml:space="preserve">Comune di </w:t>
            </w:r>
            <w:r w:rsidR="00F24705">
              <w:t>BELLINZAGO LOMBARDO</w:t>
            </w:r>
          </w:p>
        </w:tc>
      </w:tr>
      <w:tr w:rsidR="006B1E21" w:rsidRPr="006B1E21" w14:paraId="27B6ECCD" w14:textId="77777777" w:rsidTr="0082631E">
        <w:tc>
          <w:tcPr>
            <w:tcW w:w="3794" w:type="dxa"/>
            <w:tcBorders>
              <w:top w:val="single" w:sz="4" w:space="0" w:color="auto"/>
            </w:tcBorders>
          </w:tcPr>
          <w:p w14:paraId="586B301A" w14:textId="77777777" w:rsidR="009C2338" w:rsidRPr="006B1E21" w:rsidRDefault="009C2338" w:rsidP="00F559EB">
            <w:pPr>
              <w:jc w:val="both"/>
            </w:pPr>
          </w:p>
          <w:p w14:paraId="23213402" w14:textId="77777777" w:rsidR="009C2338" w:rsidRPr="006B1E21" w:rsidRDefault="009C2338" w:rsidP="00F559EB">
            <w:pPr>
              <w:jc w:val="both"/>
            </w:pPr>
          </w:p>
          <w:p w14:paraId="4BD4ED0B" w14:textId="77777777" w:rsidR="009C2338" w:rsidRPr="006B1E21" w:rsidRDefault="009C2338" w:rsidP="00F559EB">
            <w:pPr>
              <w:jc w:val="both"/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14:paraId="4296A14D" w14:textId="77777777" w:rsidR="009C2338" w:rsidRPr="006B1E21" w:rsidRDefault="009C2338" w:rsidP="00F559EB">
            <w:pPr>
              <w:jc w:val="both"/>
            </w:pPr>
          </w:p>
        </w:tc>
      </w:tr>
      <w:tr w:rsidR="006B1E21" w:rsidRPr="006B1E21" w14:paraId="3F96CEB1" w14:textId="77777777" w:rsidTr="0082631E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2FA7488B" w14:textId="77777777" w:rsidR="00BA52FE" w:rsidRPr="006B1E21" w:rsidRDefault="00BA52FE" w:rsidP="00F559EB">
            <w:pPr>
              <w:jc w:val="both"/>
              <w:rPr>
                <w:b/>
                <w:caps/>
              </w:rPr>
            </w:pPr>
            <w:r w:rsidRPr="006B1E21">
              <w:rPr>
                <w:b/>
                <w:caps/>
              </w:rPr>
              <w:t>Soggetto responsabile della compilazione</w:t>
            </w:r>
          </w:p>
        </w:tc>
      </w:tr>
      <w:tr w:rsidR="006B1E21" w:rsidRPr="006B1E21" w14:paraId="4C0CA699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01C" w14:textId="77777777" w:rsidR="009C2338" w:rsidRPr="006B1E21" w:rsidRDefault="0082631E" w:rsidP="00F559EB">
            <w:pPr>
              <w:jc w:val="both"/>
            </w:pPr>
            <w:r w:rsidRPr="006B1E21">
              <w:t>Nominativo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238D" w14:textId="36E28D99" w:rsidR="009C2338" w:rsidRPr="006B1E21" w:rsidRDefault="00F24705" w:rsidP="00F559EB">
            <w:pPr>
              <w:jc w:val="both"/>
            </w:pPr>
            <w:r>
              <w:t>GIAMPIERO COMINETTI</w:t>
            </w:r>
          </w:p>
        </w:tc>
      </w:tr>
      <w:tr w:rsidR="006B1E21" w:rsidRPr="006B1E21" w14:paraId="481D46E4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546" w14:textId="77777777" w:rsidR="00C15208" w:rsidRPr="006B1E21" w:rsidRDefault="00C15208" w:rsidP="00F559EB">
            <w:pPr>
              <w:jc w:val="both"/>
            </w:pPr>
            <w:r w:rsidRPr="006B1E21">
              <w:t>Ente di riferimento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E22B" w14:textId="4BAAEC7B" w:rsidR="00C15208" w:rsidRPr="006B1E21" w:rsidRDefault="00F24705" w:rsidP="00F559EB">
            <w:pPr>
              <w:jc w:val="both"/>
            </w:pPr>
            <w:r>
              <w:t>COMUNE DI BELLINZAGO</w:t>
            </w:r>
          </w:p>
        </w:tc>
      </w:tr>
      <w:tr w:rsidR="006B1E21" w:rsidRPr="006B1E21" w14:paraId="1CA6942E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64E" w14:textId="77777777" w:rsidR="009C2338" w:rsidRPr="006B1E21" w:rsidRDefault="0082631E" w:rsidP="00F559EB">
            <w:pPr>
              <w:jc w:val="both"/>
            </w:pPr>
            <w:r w:rsidRPr="006B1E21">
              <w:t>Area/servizio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9121" w14:textId="7BD66FAA" w:rsidR="009C2338" w:rsidRPr="006B1E21" w:rsidRDefault="00F24705" w:rsidP="00F559EB">
            <w:pPr>
              <w:jc w:val="both"/>
            </w:pPr>
            <w:r>
              <w:t xml:space="preserve">STAFF DIREZIONALE </w:t>
            </w:r>
          </w:p>
        </w:tc>
      </w:tr>
      <w:tr w:rsidR="006B1E21" w:rsidRPr="006B1E21" w14:paraId="2E5D91C0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F7C" w14:textId="77777777" w:rsidR="009C2338" w:rsidRPr="006B1E21" w:rsidRDefault="0082631E" w:rsidP="00F559EB">
            <w:pPr>
              <w:jc w:val="both"/>
            </w:pPr>
            <w:r w:rsidRPr="006B1E21">
              <w:t>Telefono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E96B" w14:textId="090F57C0" w:rsidR="009C2338" w:rsidRPr="006B1E21" w:rsidRDefault="007053CA" w:rsidP="00F559EB">
            <w:pPr>
              <w:jc w:val="both"/>
            </w:pPr>
            <w:r w:rsidRPr="007053CA">
              <w:t>02 95 09 08 221</w:t>
            </w:r>
          </w:p>
        </w:tc>
      </w:tr>
      <w:tr w:rsidR="006B1E21" w:rsidRPr="006B1E21" w14:paraId="6CFB0D53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175" w14:textId="37CBFCCA" w:rsidR="009C2338" w:rsidRPr="006B1E21" w:rsidRDefault="00F3363D" w:rsidP="00F559EB">
            <w:pPr>
              <w:jc w:val="both"/>
            </w:pPr>
            <w:r w:rsidRPr="006B1E21">
              <w:t>E-mail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61F" w14:textId="54495213" w:rsidR="009C2338" w:rsidRPr="006B1E21" w:rsidRDefault="00F24705" w:rsidP="00F559EB">
            <w:pPr>
              <w:jc w:val="both"/>
            </w:pPr>
            <w:r>
              <w:t>Segreteria-bellinzago@unioneaddamartesana.it</w:t>
            </w:r>
          </w:p>
        </w:tc>
      </w:tr>
      <w:tr w:rsidR="009C2338" w:rsidRPr="006B1E21" w14:paraId="27A69DAA" w14:textId="77777777" w:rsidTr="00F559E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FBA" w14:textId="77777777" w:rsidR="009C2338" w:rsidRPr="006B1E21" w:rsidRDefault="009C2338" w:rsidP="00F559EB">
            <w:pPr>
              <w:jc w:val="both"/>
            </w:pPr>
            <w:r w:rsidRPr="006B1E21">
              <w:t xml:space="preserve">Data di redazione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4609" w14:textId="20C3D9FA" w:rsidR="009C2338" w:rsidRPr="006B1E21" w:rsidRDefault="00F24705" w:rsidP="00F559EB">
            <w:pPr>
              <w:jc w:val="both"/>
            </w:pPr>
            <w:r>
              <w:t>13.03.2023</w:t>
            </w:r>
          </w:p>
        </w:tc>
      </w:tr>
    </w:tbl>
    <w:p w14:paraId="3DFB46CB" w14:textId="77777777" w:rsidR="00C15208" w:rsidRPr="006B1E21" w:rsidRDefault="00C15208" w:rsidP="00F559EB">
      <w:pPr>
        <w:jc w:val="both"/>
        <w:rPr>
          <w:b/>
          <w:u w:val="single"/>
        </w:rPr>
      </w:pPr>
    </w:p>
    <w:p w14:paraId="56263C1B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15D9F07F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497B7A8D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64B39934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55B8A169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6F2717F9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3ED105F4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2DBCA4F4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5B980B03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46F804B4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3132783F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2928B144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4623DD9F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56489CB5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24D09546" w14:textId="77777777" w:rsidR="00487AE5" w:rsidRPr="006B1E21" w:rsidRDefault="00487AE5" w:rsidP="00F559EB">
      <w:pPr>
        <w:jc w:val="both"/>
        <w:rPr>
          <w:b/>
          <w:u w:val="single"/>
        </w:rPr>
      </w:pPr>
    </w:p>
    <w:p w14:paraId="4CA9D7D2" w14:textId="05233A2B" w:rsidR="009C2338" w:rsidRPr="006B1E21" w:rsidRDefault="009C2338" w:rsidP="00F559EB">
      <w:pPr>
        <w:spacing w:after="120" w:line="264" w:lineRule="auto"/>
        <w:jc w:val="both"/>
        <w:rPr>
          <w:b/>
          <w:u w:val="single"/>
        </w:rPr>
      </w:pPr>
      <w:r w:rsidRPr="006B1E21">
        <w:rPr>
          <w:b/>
          <w:u w:val="single"/>
        </w:rPr>
        <w:lastRenderedPageBreak/>
        <w:t>SEZIONE A</w:t>
      </w:r>
    </w:p>
    <w:p w14:paraId="2AC967BC" w14:textId="77777777" w:rsidR="009C2338" w:rsidRPr="006B1E21" w:rsidRDefault="009C2338" w:rsidP="00F559EB">
      <w:pPr>
        <w:spacing w:after="120" w:line="264" w:lineRule="auto"/>
        <w:jc w:val="both"/>
        <w:rPr>
          <w:b/>
        </w:rPr>
      </w:pPr>
      <w:r w:rsidRPr="006B1E21">
        <w:rPr>
          <w:b/>
        </w:rPr>
        <w:t>NORMATIVA DI RIFERIMENTO</w:t>
      </w:r>
    </w:p>
    <w:p w14:paraId="0B9D65FA" w14:textId="6201B32E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Il </w:t>
      </w:r>
      <w:r w:rsidR="00943C68">
        <w:t xml:space="preserve">nostro </w:t>
      </w:r>
      <w:r w:rsidRPr="006B1E21">
        <w:t xml:space="preserve">Comune intende affidare alla </w:t>
      </w:r>
      <w:r w:rsidR="00F67E11" w:rsidRPr="006B1E21">
        <w:t>società da esso</w:t>
      </w:r>
      <w:r w:rsidRPr="006B1E21">
        <w:t xml:space="preserve"> controllata in house Cogeser Servizi S.r.l. il servizio di illuminazione pubblica nel territorio comunale.</w:t>
      </w:r>
    </w:p>
    <w:p w14:paraId="305DD0A8" w14:textId="53AAEE6F" w:rsidR="00C62753" w:rsidRPr="006B1E21" w:rsidRDefault="00F67E11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Il servizio di </w:t>
      </w:r>
      <w:r w:rsidR="00C62753" w:rsidRPr="006B1E21">
        <w:t>illuminazione pubblica rientra nella definizione di "</w:t>
      </w:r>
      <w:r w:rsidR="00C62753" w:rsidRPr="006B1E21">
        <w:rPr>
          <w:i/>
        </w:rPr>
        <w:t>servizio pubblico locale di rilevanza economica</w:t>
      </w:r>
      <w:r w:rsidR="00C62753" w:rsidRPr="006B1E21">
        <w:t xml:space="preserve">". </w:t>
      </w:r>
    </w:p>
    <w:p w14:paraId="09121B13" w14:textId="53C1C162" w:rsidR="00C62753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L’art. 1, comma 1, n. 2), Regio-Decreto 15 ottobre 1925, n. 2578,</w:t>
      </w:r>
      <w:r w:rsidR="00F67E11" w:rsidRPr="006B1E21">
        <w:t xml:space="preserve"> infatti,</w:t>
      </w:r>
      <w:r w:rsidRPr="006B1E21">
        <w:t xml:space="preserve"> qualifica l'illuminazione pubblica come servizio pubblico. La giurisprudenza</w:t>
      </w:r>
      <w:r w:rsidR="00746088">
        <w:t>,</w:t>
      </w:r>
      <w:r w:rsidRPr="006B1E21">
        <w:t xml:space="preserve"> </w:t>
      </w:r>
      <w:r w:rsidR="0099064B">
        <w:t>in conformità con</w:t>
      </w:r>
      <w:r w:rsidRPr="006B1E21">
        <w:t xml:space="preserve"> l’art. 1 R</w:t>
      </w:r>
      <w:r w:rsidR="0099064B">
        <w:t>.</w:t>
      </w:r>
      <w:r w:rsidRPr="006B1E21">
        <w:t>D</w:t>
      </w:r>
      <w:r w:rsidR="0099064B">
        <w:t>.</w:t>
      </w:r>
      <w:r w:rsidRPr="006B1E21">
        <w:t xml:space="preserve"> 2578/1925</w:t>
      </w:r>
      <w:r w:rsidR="0099064B">
        <w:t>,</w:t>
      </w:r>
      <w:r w:rsidRPr="006B1E21">
        <w:t xml:space="preserve"> ha stabilito che l’illuminazione è da considerare come servizio pubblico locale a carattere imprenditoriale, avente, quindi, rilevanza economica (cfr. Cons. Stato Sez. V, 25/11/2010, n. 8231; Cons. Stato Sez. V, 16/12/2004, n. 8090; Consiglio di Stato, sez. V, n. 348 del 31 gennaio 2006).</w:t>
      </w:r>
    </w:p>
    <w:p w14:paraId="341D244B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 xml:space="preserve">Il </w:t>
      </w:r>
      <w:proofErr w:type="spellStart"/>
      <w:r>
        <w:t>D.Lgs.</w:t>
      </w:r>
      <w:proofErr w:type="spellEnd"/>
      <w:r>
        <w:t xml:space="preserve"> 201/2022, recante “Riordino della disciplina dei servizi pubblici locali di rilevanza economica”, all’art. 14, commi 2-3, prevede che, prima di procedere con l’avvio della procedura di affidamento di un servizio pubblico locale, l’ente pubblico deve redigere un’apposita relazione sulla scelta della modalità di gestione del servizio. </w:t>
      </w:r>
    </w:p>
    <w:p w14:paraId="5D06180D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Nella relazione l’ente deve evidenziare le ragioni e la sussistenza dei requisiti previsti dall’ordinamento europeo per la forma di affidamento prescelta, gli obblighi di servizio pubblico e di servizio universale, le caratteristiche tecniche ed economiche del servizio, con riferimento specifico alla qualità del servizio, agli investimenti infrastrutturali e ai costi dell’erogazione per l’ente locale e per gli utenti.</w:t>
      </w:r>
    </w:p>
    <w:p w14:paraId="4DD59D83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Perciò, la presente relazione viene redatta ai sensi dell’art. 14, c. 3, d.lgs. 201/2022 allo scopo di:</w:t>
      </w:r>
    </w:p>
    <w:p w14:paraId="17088EEC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•</w:t>
      </w:r>
      <w:r>
        <w:tab/>
        <w:t xml:space="preserve">dimostrare l’esistenza dei requisiti previsti dall’ordinamento europeo per la forma di affidamento prescelta; </w:t>
      </w:r>
    </w:p>
    <w:p w14:paraId="3E5FAF87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•</w:t>
      </w:r>
      <w:r>
        <w:tab/>
        <w:t>indicare gli obblighi di servizio pubblico e di servizio universale previsti a carico del gestore;</w:t>
      </w:r>
    </w:p>
    <w:p w14:paraId="77DDA5EE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•</w:t>
      </w:r>
      <w:r>
        <w:tab/>
        <w:t>giustificare le ragioni della scelta sulla modalità di affidamento del servizio;</w:t>
      </w:r>
    </w:p>
    <w:p w14:paraId="0D339E24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•</w:t>
      </w:r>
      <w:r>
        <w:tab/>
        <w:t>indicare le caratteristiche tecniche ed economiche del servizio, con riferimento specifico alla qualità del servizio, agli investimenti infrastrutturali e ai costi dell’erogazione per l’ente locale.</w:t>
      </w:r>
    </w:p>
    <w:p w14:paraId="1046762A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Secondo il Testo unico sugli enti locali, l'organo competente per l’organizzazione dei servizi pubblici, compresa l’illuminazione pubblica, e la concessione della loro gestione, è il Consiglio comunale, il quale ha competenza con riguardo a: “organizzazione dei pubblici servizi, costituzione di istituzioni e aziende speciali, concessione dei pubblici servizi, partecipazione dell'ente locale a società di capitali, affidamento di attività o servizi mediante convenzione” (art. 42, comma 2, lett. e), d.lgs. 267/2000).</w:t>
      </w:r>
    </w:p>
    <w:p w14:paraId="7A2FEDBD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 xml:space="preserve">Il Consiglio comunale, pertanto, delibera con riguardo all’affidamento del servizio. </w:t>
      </w:r>
    </w:p>
    <w:p w14:paraId="1BC06C9D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L’affidamento del servizio può avvenire mediante diversi moduli operativi:</w:t>
      </w:r>
    </w:p>
    <w:p w14:paraId="40138DBD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-</w:t>
      </w:r>
      <w:r>
        <w:tab/>
        <w:t>gara pubblica per la selezione del concessionario</w:t>
      </w:r>
    </w:p>
    <w:p w14:paraId="4931692C" w14:textId="77777777" w:rsid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-</w:t>
      </w:r>
      <w:r>
        <w:tab/>
        <w:t>mediante la costituzione di una società a capitale misto pubblico privato con espletamento di procedure di gara per la selezione del partner privato;</w:t>
      </w:r>
    </w:p>
    <w:p w14:paraId="5721E637" w14:textId="7647E547" w:rsidR="00F24705" w:rsidRDefault="00F24705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-</w:t>
      </w:r>
      <w:r>
        <w:tab/>
        <w:t xml:space="preserve">mediante affidamento ad una società a capitale interamente pubblico secondo il modulo di tipo “in house </w:t>
      </w:r>
      <w:proofErr w:type="spellStart"/>
      <w:r>
        <w:t>providing</w:t>
      </w:r>
      <w:proofErr w:type="spellEnd"/>
      <w:r>
        <w:t>”.</w:t>
      </w:r>
    </w:p>
    <w:p w14:paraId="1CF3433D" w14:textId="77777777" w:rsidR="00F24705" w:rsidRPr="006B1E21" w:rsidRDefault="00F24705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46289943" w14:textId="77777777" w:rsidR="00F559EB" w:rsidRPr="006B1E21" w:rsidRDefault="00F559EB">
      <w:pPr>
        <w:rPr>
          <w:b/>
        </w:rPr>
      </w:pPr>
      <w:r w:rsidRPr="006B1E21">
        <w:rPr>
          <w:b/>
        </w:rPr>
        <w:br w:type="page"/>
      </w:r>
    </w:p>
    <w:p w14:paraId="10180A30" w14:textId="2774C7FA" w:rsidR="00204911" w:rsidRPr="00F24705" w:rsidRDefault="00204911" w:rsidP="00F559EB">
      <w:pPr>
        <w:spacing w:after="120" w:line="264" w:lineRule="auto"/>
        <w:jc w:val="both"/>
        <w:rPr>
          <w:b/>
          <w:u w:val="single"/>
        </w:rPr>
      </w:pPr>
      <w:r w:rsidRPr="00F24705">
        <w:rPr>
          <w:b/>
          <w:u w:val="single"/>
        </w:rPr>
        <w:lastRenderedPageBreak/>
        <w:t xml:space="preserve">SEZIONE B </w:t>
      </w:r>
    </w:p>
    <w:p w14:paraId="6A3AC57A" w14:textId="05C2753B" w:rsidR="009C2338" w:rsidRPr="006B1E21" w:rsidRDefault="009C2338" w:rsidP="00F559EB">
      <w:pPr>
        <w:spacing w:after="120" w:line="264" w:lineRule="auto"/>
        <w:jc w:val="both"/>
        <w:rPr>
          <w:b/>
          <w:i/>
        </w:rPr>
      </w:pPr>
      <w:r w:rsidRPr="006B1E21">
        <w:rPr>
          <w:b/>
        </w:rPr>
        <w:t>CARATTERISTICHE DEL SERVIZIO E OBBLIGHI DI SERVIZIO PUBBLICO E UNIVERSALE</w:t>
      </w:r>
      <w:r w:rsidRPr="006B1E21">
        <w:rPr>
          <w:b/>
          <w:i/>
        </w:rPr>
        <w:t xml:space="preserve"> </w:t>
      </w:r>
    </w:p>
    <w:p w14:paraId="6BB6C5BD" w14:textId="77777777" w:rsidR="009C2338" w:rsidRPr="006B1E21" w:rsidRDefault="009C2338" w:rsidP="00F559EB">
      <w:pPr>
        <w:spacing w:after="120" w:line="264" w:lineRule="auto"/>
        <w:jc w:val="both"/>
        <w:rPr>
          <w:b/>
          <w:i/>
        </w:rPr>
      </w:pPr>
      <w:r w:rsidRPr="006B1E21">
        <w:rPr>
          <w:b/>
          <w:i/>
        </w:rPr>
        <w:t>B.1 CARATTERISTICHE DEL SERVIZIO</w:t>
      </w:r>
    </w:p>
    <w:p w14:paraId="191B237F" w14:textId="0910E0C0" w:rsidR="007462B0" w:rsidRPr="006B1E21" w:rsidRDefault="007C1FC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rPr>
          <w:b/>
          <w:bCs/>
        </w:rPr>
        <w:t xml:space="preserve">1. </w:t>
      </w:r>
      <w:r w:rsidR="002221ED" w:rsidRPr="006B1E21">
        <w:t xml:space="preserve">Il </w:t>
      </w:r>
      <w:r w:rsidR="00DD29ED" w:rsidRPr="006B1E21">
        <w:t>servizio di illuminazione pubblica costituisce un’attività di pubblico interesse</w:t>
      </w:r>
      <w:r w:rsidR="007462B0" w:rsidRPr="006B1E21">
        <w:t xml:space="preserve">, </w:t>
      </w:r>
      <w:r w:rsidR="00F559EB" w:rsidRPr="006B1E21">
        <w:t>con caratteristiche particolari.</w:t>
      </w:r>
    </w:p>
    <w:p w14:paraId="4F66F5B1" w14:textId="6DC8C8FB" w:rsidR="007462B0" w:rsidRPr="006B1E21" w:rsidRDefault="007462B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I</w:t>
      </w:r>
      <w:r w:rsidR="00DD29ED" w:rsidRPr="006B1E21">
        <w:t>n primo luogo</w:t>
      </w:r>
      <w:r w:rsidRPr="006B1E21">
        <w:t xml:space="preserve">, </w:t>
      </w:r>
      <w:r w:rsidR="00F559EB" w:rsidRPr="006B1E21">
        <w:t>il</w:t>
      </w:r>
      <w:r w:rsidR="00B24106" w:rsidRPr="006B1E21">
        <w:t xml:space="preserve"> servizio</w:t>
      </w:r>
      <w:r w:rsidRPr="006B1E21">
        <w:t xml:space="preserve"> deve essere </w:t>
      </w:r>
      <w:r w:rsidR="00F559EB" w:rsidRPr="006B1E21">
        <w:t xml:space="preserve">erogato in modo </w:t>
      </w:r>
      <w:r w:rsidR="00DD29ED" w:rsidRPr="006B1E21">
        <w:t xml:space="preserve">continuo e </w:t>
      </w:r>
      <w:r w:rsidR="00F559EB" w:rsidRPr="006B1E21">
        <w:t>in conformità</w:t>
      </w:r>
      <w:r w:rsidR="00DD29ED" w:rsidRPr="006B1E21">
        <w:t xml:space="preserve"> alle normative di settore, </w:t>
      </w:r>
      <w:r w:rsidR="00B24106" w:rsidRPr="006B1E21">
        <w:t>che sono dirette a</w:t>
      </w:r>
      <w:r w:rsidRPr="006B1E21">
        <w:t xml:space="preserve"> garantire la tutela</w:t>
      </w:r>
      <w:r w:rsidR="00DD29ED" w:rsidRPr="006B1E21">
        <w:t xml:space="preserve"> della salute pubblica e dell’ambiente. Da ciò discende</w:t>
      </w:r>
      <w:r w:rsidR="00F559EB" w:rsidRPr="006B1E21">
        <w:t xml:space="preserve"> </w:t>
      </w:r>
      <w:r w:rsidR="00DD29ED" w:rsidRPr="006B1E21">
        <w:t>la fruibilità, la disponibilità e l’universalità del servizio: è necessario garantire ai cittadini che il servizio sia disponibile e fruibile da tutti nella ste</w:t>
      </w:r>
      <w:r w:rsidRPr="006B1E21">
        <w:t>s</w:t>
      </w:r>
      <w:r w:rsidR="00DD29ED" w:rsidRPr="006B1E21">
        <w:t>sa misura</w:t>
      </w:r>
      <w:r w:rsidRPr="006B1E21">
        <w:t>. Per tali ragioni</w:t>
      </w:r>
      <w:r w:rsidR="00680FC7">
        <w:t>,</w:t>
      </w:r>
      <w:r w:rsidRPr="006B1E21">
        <w:t xml:space="preserve"> </w:t>
      </w:r>
      <w:r w:rsidR="00680FC7">
        <w:t>il servizio</w:t>
      </w:r>
      <w:r w:rsidR="00DD29ED" w:rsidRPr="006B1E21">
        <w:t xml:space="preserve"> </w:t>
      </w:r>
      <w:r w:rsidRPr="006B1E21">
        <w:t>non può essere interrotto</w:t>
      </w:r>
      <w:r w:rsidR="00DD29ED" w:rsidRPr="006B1E21">
        <w:t xml:space="preserve">. </w:t>
      </w:r>
    </w:p>
    <w:p w14:paraId="5DCCDD7E" w14:textId="5B4C9D99" w:rsidR="009C2338" w:rsidRPr="006B1E21" w:rsidRDefault="00680FC7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Inoltre, è</w:t>
      </w:r>
      <w:r w:rsidR="00DD29ED" w:rsidRPr="006B1E21">
        <w:t xml:space="preserve"> necessario che il servizio </w:t>
      </w:r>
      <w:r w:rsidR="007462B0" w:rsidRPr="006B1E21">
        <w:t>di pubblica illuminazione</w:t>
      </w:r>
      <w:r w:rsidR="00DD29ED" w:rsidRPr="006B1E21">
        <w:t xml:space="preserve"> sia affidato </w:t>
      </w:r>
      <w:r w:rsidR="007462B0" w:rsidRPr="006B1E21">
        <w:t xml:space="preserve">ad un gestore in grado di fornire prestazioni di elevato livello qualitativo e di effettuare interventi di riqualificazione degli impianti di pubblica illuminazione diretti a consentire la manutenzione ordinaria </w:t>
      </w:r>
      <w:r w:rsidR="00F559EB" w:rsidRPr="006B1E21">
        <w:t>degli impianti</w:t>
      </w:r>
      <w:r w:rsidR="007462B0" w:rsidRPr="006B1E21">
        <w:t xml:space="preserve">, </w:t>
      </w:r>
      <w:r w:rsidR="00F559EB" w:rsidRPr="006B1E21">
        <w:t>in</w:t>
      </w:r>
      <w:r w:rsidR="007462B0" w:rsidRPr="006B1E21">
        <w:t xml:space="preserve"> modo da renderli conformi alle </w:t>
      </w:r>
      <w:r w:rsidR="00F559EB" w:rsidRPr="006B1E21">
        <w:t>norme in vigore</w:t>
      </w:r>
      <w:r w:rsidR="007462B0" w:rsidRPr="006B1E21">
        <w:t xml:space="preserve">, avuto riguardo alla salute pubblica, alla sicurezza e al risparmio energetico. </w:t>
      </w:r>
    </w:p>
    <w:p w14:paraId="5581CE2A" w14:textId="3112985C" w:rsidR="007462B0" w:rsidRPr="006B1E21" w:rsidRDefault="007462B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Scopo dell’affidamento del servizio, infatti, è conseguire il miglioramento della qualità del servizio di pubblica illuminazione</w:t>
      </w:r>
      <w:r w:rsidR="007C1FCB" w:rsidRPr="006B1E21">
        <w:t>,</w:t>
      </w:r>
      <w:r w:rsidRPr="006B1E21">
        <w:t xml:space="preserve"> </w:t>
      </w:r>
      <w:r w:rsidR="007C1FCB" w:rsidRPr="006B1E21">
        <w:t>consent</w:t>
      </w:r>
      <w:r w:rsidRPr="006B1E21">
        <w:t xml:space="preserve">endo </w:t>
      </w:r>
      <w:r w:rsidR="007C1FCB" w:rsidRPr="006B1E21">
        <w:t>nello stesso tempo</w:t>
      </w:r>
      <w:r w:rsidR="00CD632C" w:rsidRPr="006B1E21">
        <w:t xml:space="preserve"> </w:t>
      </w:r>
      <w:r w:rsidR="007C1FCB" w:rsidRPr="006B1E21">
        <w:t>il</w:t>
      </w:r>
      <w:r w:rsidR="00CD632C" w:rsidRPr="006B1E21">
        <w:t xml:space="preserve"> risparmio energetico ed economico, nel rispetto dei requisiti tecnici di sicurezza. </w:t>
      </w:r>
    </w:p>
    <w:p w14:paraId="175A121A" w14:textId="29BCE3B5" w:rsidR="009C2338" w:rsidRPr="006B1E21" w:rsidRDefault="00CD632C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Ulteriore finalità è ridurre l’affaticamento visivo, anche </w:t>
      </w:r>
      <w:r w:rsidR="007C1FCB" w:rsidRPr="006B1E21">
        <w:t>per</w:t>
      </w:r>
      <w:r w:rsidRPr="006B1E21">
        <w:t xml:space="preserve"> migliorare la sicurezza </w:t>
      </w:r>
      <w:r w:rsidR="007C1FCB" w:rsidRPr="006B1E21">
        <w:t>del</w:t>
      </w:r>
      <w:r w:rsidRPr="006B1E21">
        <w:t xml:space="preserve">la circolazione stradale. </w:t>
      </w:r>
    </w:p>
    <w:p w14:paraId="37288305" w14:textId="1B030767" w:rsidR="00630CE9" w:rsidRPr="006B1E21" w:rsidRDefault="007C1FC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rPr>
          <w:b/>
          <w:bCs/>
        </w:rPr>
        <w:t xml:space="preserve">2. </w:t>
      </w:r>
      <w:r w:rsidR="00CD632C" w:rsidRPr="006B1E21">
        <w:t xml:space="preserve">Il servizio di pubblica illuminazione è costituito da un insieme di attività soggette ad obblighi di servizio pubblico universale. Si tratta di obblighi che la società </w:t>
      </w:r>
      <w:r w:rsidRPr="006B1E21">
        <w:t>di gestione</w:t>
      </w:r>
      <w:r w:rsidR="00CD632C" w:rsidRPr="006B1E21">
        <w:t xml:space="preserve"> non assumerebbe </w:t>
      </w:r>
      <w:r w:rsidRPr="006B1E21">
        <w:t>s</w:t>
      </w:r>
      <w:r w:rsidR="00CD632C" w:rsidRPr="006B1E21">
        <w:t xml:space="preserve">e considerasse </w:t>
      </w:r>
      <w:r w:rsidRPr="006B1E21">
        <w:t>solo i propri interessi economici</w:t>
      </w:r>
      <w:r w:rsidR="00CD632C" w:rsidRPr="006B1E21">
        <w:t xml:space="preserve">. </w:t>
      </w:r>
    </w:p>
    <w:p w14:paraId="7DE9B236" w14:textId="0D84EC4B" w:rsidR="00CD632C" w:rsidRPr="006B1E21" w:rsidRDefault="007C1FC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Gli</w:t>
      </w:r>
      <w:r w:rsidR="00CD632C" w:rsidRPr="006B1E21">
        <w:t xml:space="preserve"> obblighi </w:t>
      </w:r>
      <w:r w:rsidRPr="006B1E21">
        <w:t xml:space="preserve">di servizio universale </w:t>
      </w:r>
      <w:r w:rsidR="00CD632C" w:rsidRPr="006B1E21">
        <w:t xml:space="preserve">connessi alla natura del servizio </w:t>
      </w:r>
      <w:r w:rsidRPr="006B1E21">
        <w:t xml:space="preserve">di illuminazione </w:t>
      </w:r>
      <w:r w:rsidR="00CD632C" w:rsidRPr="006B1E21">
        <w:t>sono</w:t>
      </w:r>
      <w:r w:rsidRPr="006B1E21">
        <w:t>:</w:t>
      </w:r>
      <w:r w:rsidR="00CD632C" w:rsidRPr="006B1E21">
        <w:t xml:space="preserve"> l’universalità, la continuità, la qualità del servizio, l’accessibilità </w:t>
      </w:r>
      <w:r w:rsidRPr="006B1E21">
        <w:t>de</w:t>
      </w:r>
      <w:r w:rsidR="00CD632C" w:rsidRPr="006B1E21">
        <w:t xml:space="preserve">lle tariffe, la tutela degli utenti e dei consumatori. </w:t>
      </w:r>
    </w:p>
    <w:p w14:paraId="25A1B74F" w14:textId="569802C2" w:rsidR="00630CE9" w:rsidRPr="006B1E21" w:rsidRDefault="00630CE9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Con specifico riferimento al servizio di illuminazione </w:t>
      </w:r>
      <w:r w:rsidR="007C1FCB" w:rsidRPr="006B1E21">
        <w:t xml:space="preserve">pubblica </w:t>
      </w:r>
      <w:r w:rsidRPr="006B1E21">
        <w:t xml:space="preserve">che il Comune intende affidare a </w:t>
      </w:r>
      <w:r w:rsidRPr="006B1E21">
        <w:rPr>
          <w:b/>
          <w:bCs/>
        </w:rPr>
        <w:t>Cogeser</w:t>
      </w:r>
      <w:r w:rsidR="007C1FCB" w:rsidRPr="006B1E21">
        <w:rPr>
          <w:b/>
          <w:bCs/>
        </w:rPr>
        <w:t xml:space="preserve"> Servizi</w:t>
      </w:r>
      <w:r w:rsidRPr="006B1E21">
        <w:t xml:space="preserve">, </w:t>
      </w:r>
      <w:r w:rsidR="00BE31AC" w:rsidRPr="006B1E21">
        <w:t>oltre al</w:t>
      </w:r>
      <w:r w:rsidRPr="006B1E21">
        <w:t xml:space="preserve">la gestione </w:t>
      </w:r>
      <w:r w:rsidR="00BE31AC" w:rsidRPr="006B1E21">
        <w:t xml:space="preserve">degli impianti, </w:t>
      </w:r>
      <w:r w:rsidR="007C1FCB" w:rsidRPr="006B1E21">
        <w:t xml:space="preserve">cioè la loro manutenzione ordinaria e le </w:t>
      </w:r>
      <w:r w:rsidR="00BE31AC" w:rsidRPr="006B1E21">
        <w:t xml:space="preserve">verifiche periodiche, è prevista </w:t>
      </w:r>
      <w:r w:rsidRPr="006B1E21">
        <w:t xml:space="preserve">la sostituzione di tutti i corpi illuminanti presenti sul territorio del Comune con altri </w:t>
      </w:r>
      <w:r w:rsidR="007C1FCB" w:rsidRPr="006B1E21">
        <w:t>a</w:t>
      </w:r>
      <w:r w:rsidRPr="006B1E21">
        <w:t xml:space="preserve"> tecnologia LED e l’installazione di dispositivi di telecontrollo per ogni quadro presente </w:t>
      </w:r>
      <w:r w:rsidR="007C1FCB" w:rsidRPr="006B1E21">
        <w:t>ne</w:t>
      </w:r>
      <w:r w:rsidRPr="006B1E21">
        <w:t>l territorio comunale.</w:t>
      </w:r>
    </w:p>
    <w:p w14:paraId="480211FD" w14:textId="539CE344" w:rsidR="00630CE9" w:rsidRPr="006B1E21" w:rsidRDefault="00630CE9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L’obiettivo </w:t>
      </w:r>
      <w:r w:rsidR="007C1FCB" w:rsidRPr="006B1E21">
        <w:t>primario</w:t>
      </w:r>
      <w:r w:rsidRPr="006B1E21">
        <w:t xml:space="preserve"> è l’efficientamento e la messa a norma dell’impianto di </w:t>
      </w:r>
      <w:r w:rsidR="007C1FCB" w:rsidRPr="006B1E21">
        <w:t>i</w:t>
      </w:r>
      <w:r w:rsidRPr="006B1E21">
        <w:t xml:space="preserve">lluminazione </w:t>
      </w:r>
      <w:r w:rsidR="007C1FCB" w:rsidRPr="006B1E21">
        <w:t xml:space="preserve">pubblica </w:t>
      </w:r>
      <w:r w:rsidRPr="006B1E21">
        <w:t xml:space="preserve">nel territorio comunale. </w:t>
      </w:r>
      <w:r w:rsidR="007C1FCB" w:rsidRPr="006B1E21">
        <w:t>Nello</w:t>
      </w:r>
      <w:r w:rsidRPr="006B1E21">
        <w:t xml:space="preserve"> stesso tempo il progetto verrà sviluppato </w:t>
      </w:r>
      <w:r w:rsidR="007C1FCB" w:rsidRPr="006B1E21">
        <w:t>allo scopo di</w:t>
      </w:r>
      <w:r w:rsidRPr="006B1E21">
        <w:t>:</w:t>
      </w:r>
    </w:p>
    <w:p w14:paraId="1278EAE8" w14:textId="2D9A8B1B" w:rsidR="00630CE9" w:rsidRPr="006B1E21" w:rsidRDefault="007C1FC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a</w:t>
      </w:r>
      <w:r w:rsidR="00630CE9" w:rsidRPr="006B1E21">
        <w:t>) migliorare la qualità generale del servizio, sia in termini di affidabilità e continuità dello stesso, sia in ordine a</w:t>
      </w:r>
      <w:r w:rsidR="00AC46F2" w:rsidRPr="006B1E21">
        <w:t xml:space="preserve">ll’installazione di impianti che garantiscano agli utenti una </w:t>
      </w:r>
      <w:r w:rsidR="00630CE9" w:rsidRPr="006B1E21">
        <w:t>maggiore sicurezza e fruibilità degli spazi esterni;</w:t>
      </w:r>
    </w:p>
    <w:p w14:paraId="43D89182" w14:textId="2CF56AD4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b</w:t>
      </w:r>
      <w:r w:rsidR="00630CE9" w:rsidRPr="006B1E21">
        <w:t>) ottenere un risparmio energetico rispetto agli attuali consumi di energia elettrica;</w:t>
      </w:r>
    </w:p>
    <w:p w14:paraId="66531026" w14:textId="2B78C6DA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c</w:t>
      </w:r>
      <w:r w:rsidR="00630CE9" w:rsidRPr="006B1E21">
        <w:t xml:space="preserve">) conseguire </w:t>
      </w:r>
      <w:r w:rsidR="00AC46F2" w:rsidRPr="006B1E21">
        <w:t>una riduzione</w:t>
      </w:r>
      <w:r w:rsidR="00630CE9" w:rsidRPr="006B1E21">
        <w:t xml:space="preserve"> dell’inquinamento luminoso;</w:t>
      </w:r>
    </w:p>
    <w:p w14:paraId="1B9F7F89" w14:textId="27B879AF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d</w:t>
      </w:r>
      <w:r w:rsidR="00630CE9" w:rsidRPr="006B1E21">
        <w:t>) incrementare il ciclo di vita e l’affidabilità degli impianti;</w:t>
      </w:r>
    </w:p>
    <w:p w14:paraId="50EC7CAA" w14:textId="52E9219D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e</w:t>
      </w:r>
      <w:r w:rsidR="00630CE9" w:rsidRPr="006B1E21">
        <w:t xml:space="preserve">) sviluppare servizi tecnologici integrati </w:t>
      </w:r>
      <w:r w:rsidRPr="006B1E21">
        <w:t>per</w:t>
      </w:r>
      <w:r w:rsidR="00630CE9" w:rsidRPr="006B1E21">
        <w:t xml:space="preserve"> promuovere l’ottimizzazione e l’innovazione dei servizi pubblici in ambito urbano, in ottica di “Smart City”;</w:t>
      </w:r>
    </w:p>
    <w:p w14:paraId="1B77740E" w14:textId="190DECFA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f</w:t>
      </w:r>
      <w:r w:rsidR="00630CE9" w:rsidRPr="006B1E21">
        <w:t xml:space="preserve">) </w:t>
      </w:r>
      <w:r w:rsidRPr="006B1E21">
        <w:t>rendere più efficienti</w:t>
      </w:r>
      <w:r w:rsidR="00630CE9" w:rsidRPr="006B1E21">
        <w:t xml:space="preserve"> gli interventi di manutenzione con conseguenti benefici per l’ambiente (riduzione </w:t>
      </w:r>
      <w:r w:rsidRPr="006B1E21">
        <w:t xml:space="preserve">dello </w:t>
      </w:r>
      <w:r w:rsidR="00630CE9" w:rsidRPr="006B1E21">
        <w:t>smaltimento dei rifiuti) e per le utenze (riduzione guasti e inefficienze);</w:t>
      </w:r>
    </w:p>
    <w:p w14:paraId="50ABFEF2" w14:textId="312FCE09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g</w:t>
      </w:r>
      <w:r w:rsidR="00630CE9" w:rsidRPr="006B1E21">
        <w:t xml:space="preserve">) promuovere l’utilizzo di tecnologie di ultima generazione, basate su sistemi elettronici </w:t>
      </w:r>
      <w:r w:rsidRPr="006B1E21">
        <w:t>in grado di assicurare</w:t>
      </w:r>
      <w:r w:rsidR="00630CE9" w:rsidRPr="006B1E21">
        <w:t xml:space="preserve"> risparmio energetico, elevata continuità di servizio e notevole riduzione dei guasti;</w:t>
      </w:r>
    </w:p>
    <w:p w14:paraId="71607D27" w14:textId="52E4D6D7" w:rsidR="00630CE9" w:rsidRPr="006B1E21" w:rsidRDefault="00044B50" w:rsidP="0036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64" w:lineRule="auto"/>
        <w:jc w:val="both"/>
      </w:pPr>
      <w:r w:rsidRPr="006B1E21">
        <w:t>h</w:t>
      </w:r>
      <w:r w:rsidR="00630CE9" w:rsidRPr="006B1E21">
        <w:t xml:space="preserve">) salvaguardare e proteggere l’ambiente, </w:t>
      </w:r>
      <w:r w:rsidRPr="006B1E21">
        <w:t>con</w:t>
      </w:r>
      <w:r w:rsidR="00630CE9" w:rsidRPr="006B1E21">
        <w:t xml:space="preserve"> la riduzione delle emissioni atmosferiche di CO</w:t>
      </w:r>
      <w:r w:rsidR="00630CE9" w:rsidRPr="006B1E21">
        <w:rPr>
          <w:vertAlign w:val="subscript"/>
        </w:rPr>
        <w:t>2</w:t>
      </w:r>
      <w:r w:rsidR="00630CE9" w:rsidRPr="006B1E21">
        <w:t>;</w:t>
      </w:r>
    </w:p>
    <w:p w14:paraId="1DAE28F2" w14:textId="0E9A43D1" w:rsidR="00630CE9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lastRenderedPageBreak/>
        <w:t>i</w:t>
      </w:r>
      <w:r w:rsidR="00630CE9" w:rsidRPr="006B1E21">
        <w:t xml:space="preserve">) aumentare la sicurezza stradale </w:t>
      </w:r>
      <w:r w:rsidR="0036678E" w:rsidRPr="006B1E21">
        <w:t>in modo da</w:t>
      </w:r>
      <w:r w:rsidR="00630CE9" w:rsidRPr="006B1E21">
        <w:t xml:space="preserve"> ridurre gli incidenti automobilistici e i rischi per i pedoni;</w:t>
      </w:r>
    </w:p>
    <w:p w14:paraId="1CA56489" w14:textId="226244C1" w:rsidR="00B4488B" w:rsidRPr="006B1E21" w:rsidRDefault="00044B5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l</w:t>
      </w:r>
      <w:r w:rsidR="00630CE9" w:rsidRPr="006B1E21">
        <w:t xml:space="preserve">) migliorare l’illuminazione delle opere architettoniche evitando dispersioni </w:t>
      </w:r>
      <w:r w:rsidR="0036678E" w:rsidRPr="006B1E21">
        <w:t>di</w:t>
      </w:r>
      <w:r w:rsidR="00630CE9" w:rsidRPr="006B1E21">
        <w:t xml:space="preserve"> luce</w:t>
      </w:r>
      <w:r w:rsidR="0036678E" w:rsidRPr="006B1E21">
        <w:t xml:space="preserve"> inutili e dannose</w:t>
      </w:r>
      <w:r w:rsidR="00630CE9" w:rsidRPr="006B1E21">
        <w:t>.</w:t>
      </w:r>
    </w:p>
    <w:p w14:paraId="31B7791F" w14:textId="77777777" w:rsidR="00B4488B" w:rsidRPr="006B1E21" w:rsidRDefault="00B4488B" w:rsidP="00F559EB">
      <w:pPr>
        <w:spacing w:after="120" w:line="264" w:lineRule="auto"/>
        <w:jc w:val="both"/>
        <w:rPr>
          <w:b/>
          <w:i/>
        </w:rPr>
      </w:pPr>
    </w:p>
    <w:p w14:paraId="221E16B0" w14:textId="1DD5E4CE" w:rsidR="00C555CA" w:rsidRPr="006B1E21" w:rsidRDefault="00C555CA" w:rsidP="00F559EB">
      <w:pPr>
        <w:spacing w:after="120" w:line="264" w:lineRule="auto"/>
        <w:jc w:val="both"/>
        <w:rPr>
          <w:b/>
          <w:i/>
        </w:rPr>
      </w:pPr>
      <w:r w:rsidRPr="006B1E21">
        <w:rPr>
          <w:b/>
          <w:i/>
        </w:rPr>
        <w:t>B.2 OBBLIGHI DI SERVIZIO PUBBLICO E UNIVERSALE</w:t>
      </w:r>
    </w:p>
    <w:p w14:paraId="3ADEE3AB" w14:textId="0A98284E" w:rsidR="0036678E" w:rsidRPr="00DA75EC" w:rsidRDefault="00EC5208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rPr>
          <w:b/>
          <w:bCs/>
        </w:rPr>
        <w:t xml:space="preserve">1. </w:t>
      </w:r>
      <w:r w:rsidR="00EA4404" w:rsidRPr="006B1E21">
        <w:t xml:space="preserve">L’art. </w:t>
      </w:r>
      <w:r w:rsidR="00DA75EC">
        <w:t>14, comma 3, del d.lgs. 201/2022</w:t>
      </w:r>
      <w:r w:rsidR="0036678E" w:rsidRPr="006B1E21">
        <w:t xml:space="preserve"> stabilisce che la relazione dell’ente pubblico sull’affidamento del servizio deve </w:t>
      </w:r>
      <w:r w:rsidR="00DA75EC">
        <w:t>illustrare</w:t>
      </w:r>
      <w:r w:rsidR="00DA75EC" w:rsidRPr="006B1E21">
        <w:t xml:space="preserve"> </w:t>
      </w:r>
      <w:r w:rsidR="00DA75EC">
        <w:t xml:space="preserve">quali sono </w:t>
      </w:r>
      <w:r w:rsidR="0036678E" w:rsidRPr="006B1E21">
        <w:rPr>
          <w:i/>
          <w:iCs/>
        </w:rPr>
        <w:t>“gli obblighi di servizio pubblico”.</w:t>
      </w:r>
      <w:r w:rsidR="00DA75EC">
        <w:rPr>
          <w:i/>
          <w:iCs/>
        </w:rPr>
        <w:t xml:space="preserve"> </w:t>
      </w:r>
      <w:r w:rsidR="00DA75EC">
        <w:t>Inoltre, l’art. 17, comma 2, prevede che l’ente affidante deve indicare gli “</w:t>
      </w:r>
      <w:r w:rsidR="00DA75EC">
        <w:rPr>
          <w:i/>
          <w:iCs/>
        </w:rPr>
        <w:t>obiettivi di universalità</w:t>
      </w:r>
      <w:r w:rsidR="00DA75EC">
        <w:t>” del servizio.</w:t>
      </w:r>
    </w:p>
    <w:p w14:paraId="7D6A8354" w14:textId="7C16001C" w:rsidR="00EA4404" w:rsidRPr="006B1E21" w:rsidRDefault="00DA75EC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>
        <w:t>I</w:t>
      </w:r>
      <w:r w:rsidR="0036678E" w:rsidRPr="006B1E21">
        <w:t>l</w:t>
      </w:r>
      <w:r w:rsidR="00EA4404" w:rsidRPr="006B1E21">
        <w:t xml:space="preserve"> </w:t>
      </w:r>
      <w:bookmarkStart w:id="0" w:name="_Hlk119678607"/>
      <w:r w:rsidR="0036678E" w:rsidRPr="006B1E21">
        <w:rPr>
          <w:rFonts w:cstheme="minorHAnsi"/>
        </w:rPr>
        <w:t>«</w:t>
      </w:r>
      <w:r w:rsidR="00EA4404" w:rsidRPr="005E22F0">
        <w:rPr>
          <w:i/>
          <w:iCs/>
        </w:rPr>
        <w:t>servizio pubblico</w:t>
      </w:r>
      <w:r w:rsidR="0036678E" w:rsidRPr="006B1E21">
        <w:rPr>
          <w:rFonts w:cstheme="minorHAnsi"/>
        </w:rPr>
        <w:t>»</w:t>
      </w:r>
      <w:r w:rsidR="00EA4404" w:rsidRPr="006B1E21">
        <w:t xml:space="preserve"> </w:t>
      </w:r>
      <w:bookmarkEnd w:id="0"/>
      <w:r w:rsidR="00EA4404" w:rsidRPr="006B1E21">
        <w:t xml:space="preserve">può essere definito come un'attività di interesse generale </w:t>
      </w:r>
      <w:r w:rsidR="0036678E" w:rsidRPr="006B1E21">
        <w:t xml:space="preserve">di cui l’ente pubblico è titolare e che può gestire </w:t>
      </w:r>
      <w:r w:rsidR="00EA4404" w:rsidRPr="006B1E21">
        <w:t xml:space="preserve">direttamente o indirettamente tramite un soggetto privato.  </w:t>
      </w:r>
    </w:p>
    <w:p w14:paraId="7A3D2985" w14:textId="39A524E7" w:rsidR="00EA4404" w:rsidRPr="006B1E21" w:rsidRDefault="00EA4404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>Il servizio è</w:t>
      </w:r>
      <w:r w:rsidR="005E22F0">
        <w:t xml:space="preserve"> definito</w:t>
      </w:r>
      <w:r w:rsidRPr="006B1E21">
        <w:t xml:space="preserve"> </w:t>
      </w:r>
      <w:r w:rsidR="00AA7906" w:rsidRPr="006B1E21">
        <w:rPr>
          <w:rFonts w:cstheme="minorHAnsi"/>
        </w:rPr>
        <w:t>«</w:t>
      </w:r>
      <w:r w:rsidRPr="005E22F0">
        <w:rPr>
          <w:i/>
          <w:iCs/>
        </w:rPr>
        <w:t>universale</w:t>
      </w:r>
      <w:r w:rsidR="00AA7906" w:rsidRPr="006B1E21">
        <w:rPr>
          <w:rFonts w:cstheme="minorHAnsi"/>
        </w:rPr>
        <w:t>»</w:t>
      </w:r>
      <w:r w:rsidRPr="006B1E21">
        <w:t xml:space="preserve"> quando </w:t>
      </w:r>
      <w:r w:rsidR="00AA7906" w:rsidRPr="006B1E21">
        <w:t>viene</w:t>
      </w:r>
      <w:r w:rsidRPr="006B1E21">
        <w:t xml:space="preserve"> messo a disposizione di tutti gli utenti a</w:t>
      </w:r>
      <w:r w:rsidR="005E22F0">
        <w:t>d</w:t>
      </w:r>
      <w:r w:rsidRPr="006B1E21">
        <w:t xml:space="preserve"> un livello qualitativo </w:t>
      </w:r>
      <w:r w:rsidR="00AA7906" w:rsidRPr="006B1E21">
        <w:t>determinato</w:t>
      </w:r>
      <w:r w:rsidRPr="006B1E21">
        <w:t xml:space="preserve"> e a</w:t>
      </w:r>
      <w:r w:rsidR="00AA7906" w:rsidRPr="006B1E21">
        <w:t>d</w:t>
      </w:r>
      <w:r w:rsidRPr="006B1E21">
        <w:t xml:space="preserve"> un prezzo accessibile, </w:t>
      </w:r>
      <w:r w:rsidR="00AA7906" w:rsidRPr="006B1E21">
        <w:t xml:space="preserve">a prescindere dalla </w:t>
      </w:r>
      <w:r w:rsidRPr="006B1E21">
        <w:t>posizione geografica</w:t>
      </w:r>
      <w:r w:rsidR="00AA7906" w:rsidRPr="006B1E21">
        <w:t xml:space="preserve"> degli utenti</w:t>
      </w:r>
      <w:r w:rsidRPr="006B1E21">
        <w:t>.</w:t>
      </w:r>
    </w:p>
    <w:p w14:paraId="176EC4D6" w14:textId="727D34DF" w:rsidR="00EA4404" w:rsidRPr="006B1E21" w:rsidRDefault="00EA4404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Il diritto comunitario </w:t>
      </w:r>
      <w:r w:rsidR="00AA7906" w:rsidRPr="006B1E21">
        <w:t>considera</w:t>
      </w:r>
      <w:r w:rsidRPr="006B1E21">
        <w:t xml:space="preserve"> il servizio universale come </w:t>
      </w:r>
      <w:r w:rsidR="00AA7906" w:rsidRPr="006B1E21">
        <w:t>“</w:t>
      </w:r>
      <w:r w:rsidRPr="006B1E21">
        <w:rPr>
          <w:i/>
          <w:iCs/>
        </w:rPr>
        <w:t>l'insieme minimo di servizi di qualità specifica cui tutti gli utenti finali hanno accesso a prezzo abbordabile tenuto conto delle specifiche circostanze nazionali, senza distorsioni di concorrenza</w:t>
      </w:r>
      <w:r w:rsidR="00AA7906" w:rsidRPr="006B1E21">
        <w:t>”</w:t>
      </w:r>
      <w:r w:rsidR="001D22F6" w:rsidRPr="006B1E21">
        <w:t xml:space="preserve"> (</w:t>
      </w:r>
      <w:r w:rsidR="00AA7906" w:rsidRPr="006B1E21">
        <w:t>cfr. d</w:t>
      </w:r>
      <w:r w:rsidR="001D22F6" w:rsidRPr="006B1E21">
        <w:t>irettiva 2002/22/CE)</w:t>
      </w:r>
    </w:p>
    <w:p w14:paraId="0F82006A" w14:textId="4FAFBCD6" w:rsidR="00EA4404" w:rsidRPr="006B1E21" w:rsidRDefault="00EA4404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Nella scelta delle modalità di gestione </w:t>
      </w:r>
      <w:r w:rsidR="00AA7906" w:rsidRPr="006B1E21">
        <w:t>del servizio, affinché il servizio sia universale bisogna</w:t>
      </w:r>
      <w:r w:rsidRPr="006B1E21">
        <w:t xml:space="preserve"> garantire che sia accessibile e fruibile </w:t>
      </w:r>
      <w:r w:rsidR="00921BCA">
        <w:t>d</w:t>
      </w:r>
      <w:r w:rsidRPr="006B1E21">
        <w:t>a tutti gli utenti, ad un livello qualitativo</w:t>
      </w:r>
      <w:r w:rsidR="00AA7906" w:rsidRPr="006B1E21">
        <w:t xml:space="preserve"> minimo predeterminato</w:t>
      </w:r>
      <w:r w:rsidRPr="006B1E21">
        <w:t>.</w:t>
      </w:r>
    </w:p>
    <w:p w14:paraId="09569E9B" w14:textId="29974F86" w:rsidR="00EA4404" w:rsidRPr="006B1E21" w:rsidRDefault="00EA4404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In sostanza, quando si parla di </w:t>
      </w:r>
      <w:r w:rsidR="00AA7906" w:rsidRPr="006B1E21">
        <w:rPr>
          <w:rFonts w:cstheme="minorHAnsi"/>
        </w:rPr>
        <w:t>«</w:t>
      </w:r>
      <w:r w:rsidR="00AA7906" w:rsidRPr="00921BCA">
        <w:rPr>
          <w:i/>
          <w:iCs/>
        </w:rPr>
        <w:t>servizio pubblico</w:t>
      </w:r>
      <w:r w:rsidR="00AA7906" w:rsidRPr="006B1E21">
        <w:rPr>
          <w:rFonts w:cstheme="minorHAnsi"/>
        </w:rPr>
        <w:t>»</w:t>
      </w:r>
      <w:r w:rsidRPr="006B1E21">
        <w:t xml:space="preserve"> l'attenzione </w:t>
      </w:r>
      <w:r w:rsidR="00AA7906" w:rsidRPr="006B1E21">
        <w:t xml:space="preserve">è rivolta all’ente </w:t>
      </w:r>
      <w:r w:rsidRPr="006B1E21">
        <w:t xml:space="preserve">pubblico che deve </w:t>
      </w:r>
      <w:r w:rsidR="001D22F6" w:rsidRPr="006B1E21">
        <w:t>esercitare</w:t>
      </w:r>
      <w:r w:rsidRPr="006B1E21">
        <w:t xml:space="preserve"> </w:t>
      </w:r>
      <w:r w:rsidR="00AA7906" w:rsidRPr="006B1E21">
        <w:t xml:space="preserve">un'attività di interesse generale </w:t>
      </w:r>
      <w:r w:rsidRPr="006B1E21">
        <w:t xml:space="preserve">(direttamente </w:t>
      </w:r>
      <w:r w:rsidR="00AA7906" w:rsidRPr="006B1E21">
        <w:t>o</w:t>
      </w:r>
      <w:r w:rsidRPr="006B1E21">
        <w:t xml:space="preserve"> indirettamente </w:t>
      </w:r>
      <w:r w:rsidR="00AA7906" w:rsidRPr="006B1E21">
        <w:t>tramite</w:t>
      </w:r>
      <w:r w:rsidRPr="006B1E21">
        <w:t xml:space="preserve"> concessione </w:t>
      </w:r>
      <w:r w:rsidR="00AA7906" w:rsidRPr="006B1E21">
        <w:t>ad un’impresa</w:t>
      </w:r>
      <w:r w:rsidRPr="006B1E21">
        <w:t xml:space="preserve">), mentre quando si parla di </w:t>
      </w:r>
      <w:r w:rsidR="00AA7906" w:rsidRPr="006B1E21">
        <w:rPr>
          <w:rFonts w:cstheme="minorHAnsi"/>
        </w:rPr>
        <w:t>«</w:t>
      </w:r>
      <w:r w:rsidR="00AA7906" w:rsidRPr="00921BCA">
        <w:rPr>
          <w:i/>
          <w:iCs/>
        </w:rPr>
        <w:t>servizio universale</w:t>
      </w:r>
      <w:r w:rsidR="00AA7906" w:rsidRPr="006B1E21">
        <w:rPr>
          <w:rFonts w:cstheme="minorHAnsi"/>
        </w:rPr>
        <w:t>»</w:t>
      </w:r>
      <w:r w:rsidR="00AA7906" w:rsidRPr="006B1E21">
        <w:t xml:space="preserve"> </w:t>
      </w:r>
      <w:r w:rsidRPr="006B1E21">
        <w:t xml:space="preserve">l'attenzione si </w:t>
      </w:r>
      <w:r w:rsidR="001D22F6" w:rsidRPr="006B1E21">
        <w:t>sposta</w:t>
      </w:r>
      <w:r w:rsidRPr="006B1E21">
        <w:t xml:space="preserve"> </w:t>
      </w:r>
      <w:r w:rsidR="00AA7906" w:rsidRPr="006B1E21">
        <w:t>a</w:t>
      </w:r>
      <w:r w:rsidRPr="006B1E21">
        <w:t xml:space="preserve">gli utenti </w:t>
      </w:r>
      <w:r w:rsidR="00AA7906" w:rsidRPr="006B1E21">
        <w:t>del</w:t>
      </w:r>
      <w:r w:rsidRPr="006B1E21">
        <w:t xml:space="preserve"> servizio e, più precisamente, </w:t>
      </w:r>
      <w:r w:rsidR="00695793" w:rsidRPr="006B1E21">
        <w:t>alle</w:t>
      </w:r>
      <w:r w:rsidRPr="006B1E21">
        <w:t xml:space="preserve"> condizioni di accessibilità, fruibilità e qualità del servizio.</w:t>
      </w:r>
      <w:r w:rsidR="00137061" w:rsidRPr="006B1E21">
        <w:t xml:space="preserve"> </w:t>
      </w:r>
    </w:p>
    <w:p w14:paraId="5B0F4758" w14:textId="29E154B0" w:rsidR="00EA4404" w:rsidRPr="006B1E21" w:rsidRDefault="00EA4404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Infine, </w:t>
      </w:r>
      <w:r w:rsidR="00EC5208" w:rsidRPr="006B1E21">
        <w:t>sono</w:t>
      </w:r>
      <w:r w:rsidRPr="006B1E21">
        <w:t xml:space="preserve"> </w:t>
      </w:r>
      <w:r w:rsidR="00137061" w:rsidRPr="006B1E21">
        <w:rPr>
          <w:rFonts w:cstheme="minorHAnsi"/>
        </w:rPr>
        <w:t>«</w:t>
      </w:r>
      <w:r w:rsidRPr="00921BCA">
        <w:rPr>
          <w:i/>
          <w:iCs/>
        </w:rPr>
        <w:t>servizi di interesse generale</w:t>
      </w:r>
      <w:r w:rsidR="00137061" w:rsidRPr="006B1E21">
        <w:rPr>
          <w:rFonts w:cstheme="minorHAnsi"/>
        </w:rPr>
        <w:t>»</w:t>
      </w:r>
      <w:r w:rsidRPr="006B1E21">
        <w:t xml:space="preserve"> </w:t>
      </w:r>
      <w:r w:rsidR="00EC5208" w:rsidRPr="006B1E21">
        <w:t>quelli che</w:t>
      </w:r>
      <w:r w:rsidRPr="006B1E21">
        <w:t xml:space="preserve"> non </w:t>
      </w:r>
      <w:r w:rsidR="00137061" w:rsidRPr="006B1E21">
        <w:t>potrebbero essere</w:t>
      </w:r>
      <w:r w:rsidRPr="006B1E21">
        <w:t xml:space="preserve"> </w:t>
      </w:r>
      <w:r w:rsidR="00137061" w:rsidRPr="006B1E21">
        <w:t>eserci</w:t>
      </w:r>
      <w:r w:rsidR="00EC5208" w:rsidRPr="006B1E21">
        <w:t>ta</w:t>
      </w:r>
      <w:r w:rsidR="00137061" w:rsidRPr="006B1E21">
        <w:t>ti</w:t>
      </w:r>
      <w:r w:rsidRPr="006B1E21">
        <w:t xml:space="preserve"> senza un intervento pubblico o sarebbero </w:t>
      </w:r>
      <w:r w:rsidR="00137061" w:rsidRPr="006B1E21">
        <w:t>erogati</w:t>
      </w:r>
      <w:r w:rsidRPr="006B1E21">
        <w:t xml:space="preserve"> a condizioni differenti in termini di accessibilità fisica ed economica, continuità, non discriminazione, qualità e sicurezza. Le amministrazioni pubbliche, perciò, assumono</w:t>
      </w:r>
      <w:r w:rsidR="00EC5208" w:rsidRPr="006B1E21">
        <w:t xml:space="preserve"> la titolarità di</w:t>
      </w:r>
      <w:r w:rsidRPr="006B1E21">
        <w:t xml:space="preserve"> tali servizi </w:t>
      </w:r>
      <w:r w:rsidR="00EC5208" w:rsidRPr="006B1E21">
        <w:t>per</w:t>
      </w:r>
      <w:r w:rsidRPr="006B1E21">
        <w:t xml:space="preserve"> assicurare la soddisfazione dei bisogni della collettività di riferimento, garantire l'omogeneità dello sviluppo e la coesione sociale. </w:t>
      </w:r>
    </w:p>
    <w:p w14:paraId="7430ED28" w14:textId="2672A288" w:rsidR="00EA4404" w:rsidRPr="006B1E21" w:rsidRDefault="00EC5208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>La ragione degli</w:t>
      </w:r>
      <w:r w:rsidR="00EA4404" w:rsidRPr="006B1E21">
        <w:t xml:space="preserve"> obblighi di servizio pubblico</w:t>
      </w:r>
      <w:r w:rsidRPr="006B1E21">
        <w:t xml:space="preserve"> consiste</w:t>
      </w:r>
      <w:r w:rsidR="00EA4404" w:rsidRPr="006B1E21">
        <w:t xml:space="preserve"> nella necessità di garantire l'equilibrio tra il mercato e la regolamentazione, tra la concorrenza e l'interesse generale, </w:t>
      </w:r>
      <w:r w:rsidRPr="006B1E21">
        <w:t>così</w:t>
      </w:r>
      <w:r w:rsidR="00EA4404" w:rsidRPr="006B1E21">
        <w:t xml:space="preserve"> che i servizi di interesse economico generale siano prestati in modo ininterrotto (</w:t>
      </w:r>
      <w:r w:rsidR="00EA4404" w:rsidRPr="006B1E21">
        <w:rPr>
          <w:i/>
          <w:iCs/>
        </w:rPr>
        <w:t>continuità</w:t>
      </w:r>
      <w:r w:rsidR="00EA4404" w:rsidRPr="006B1E21">
        <w:t>), a favore di tutti gli utenti</w:t>
      </w:r>
      <w:r w:rsidRPr="006B1E21">
        <w:t xml:space="preserve"> e nell’intero </w:t>
      </w:r>
      <w:r w:rsidR="00EA4404" w:rsidRPr="006B1E21">
        <w:t xml:space="preserve">territorio </w:t>
      </w:r>
      <w:r w:rsidRPr="006B1E21">
        <w:t>di riferimento</w:t>
      </w:r>
      <w:r w:rsidR="00EA4404" w:rsidRPr="006B1E21">
        <w:t xml:space="preserve"> (</w:t>
      </w:r>
      <w:r w:rsidR="00EA4404" w:rsidRPr="006B1E21">
        <w:rPr>
          <w:i/>
          <w:iCs/>
        </w:rPr>
        <w:t>universalità</w:t>
      </w:r>
      <w:r w:rsidR="00EA4404" w:rsidRPr="006B1E21">
        <w:t xml:space="preserve">), a tariffe uniformi e a condizioni di qualità simili, indipendentemente </w:t>
      </w:r>
      <w:r w:rsidRPr="006B1E21">
        <w:t>da</w:t>
      </w:r>
      <w:r w:rsidR="00EA4404" w:rsidRPr="006B1E21">
        <w:t xml:space="preserve"> circostanze particolari e dal grado di redditività economica di ciascuna singola operazione (</w:t>
      </w:r>
      <w:r w:rsidR="00EA4404" w:rsidRPr="006B1E21">
        <w:rPr>
          <w:i/>
          <w:iCs/>
        </w:rPr>
        <w:t>parità</w:t>
      </w:r>
      <w:r w:rsidR="00EA4404" w:rsidRPr="006B1E21">
        <w:t>), oltre alla trasparenza ed al carattere economicamente accessibile del servizio.</w:t>
      </w:r>
    </w:p>
    <w:p w14:paraId="140710D8" w14:textId="7C7F4474" w:rsidR="00EA4404" w:rsidRPr="006B1E21" w:rsidRDefault="00EC5208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rPr>
          <w:b/>
          <w:bCs/>
        </w:rPr>
        <w:t xml:space="preserve">2. </w:t>
      </w:r>
      <w:r w:rsidR="00EA4404" w:rsidRPr="006B1E21">
        <w:t xml:space="preserve">In </w:t>
      </w:r>
      <w:r w:rsidR="00BD5139" w:rsidRPr="006B1E21">
        <w:t>questo</w:t>
      </w:r>
      <w:r w:rsidR="00EA4404" w:rsidRPr="006B1E21">
        <w:t xml:space="preserve"> contesto si inserisc</w:t>
      </w:r>
      <w:r w:rsidR="00B24106" w:rsidRPr="006B1E21">
        <w:t xml:space="preserve">e </w:t>
      </w:r>
      <w:r w:rsidR="00EA4404" w:rsidRPr="006B1E21">
        <w:t xml:space="preserve">il servizio di </w:t>
      </w:r>
      <w:r w:rsidR="00EA4404" w:rsidRPr="006B1E21">
        <w:rPr>
          <w:b/>
          <w:bCs/>
        </w:rPr>
        <w:t xml:space="preserve">illuminazione </w:t>
      </w:r>
      <w:r w:rsidR="00B24106" w:rsidRPr="006B1E21">
        <w:rPr>
          <w:b/>
          <w:bCs/>
        </w:rPr>
        <w:t>pubblica</w:t>
      </w:r>
      <w:r w:rsidR="00B24106" w:rsidRPr="006B1E21">
        <w:t xml:space="preserve">, </w:t>
      </w:r>
      <w:r w:rsidR="002D3EE0">
        <w:t>che</w:t>
      </w:r>
      <w:r w:rsidR="00EA4404" w:rsidRPr="006B1E21">
        <w:t xml:space="preserve"> </w:t>
      </w:r>
      <w:r w:rsidR="00BD5139" w:rsidRPr="006B1E21">
        <w:t>ha come ambito di svolgimento</w:t>
      </w:r>
      <w:r w:rsidRPr="006B1E21">
        <w:t xml:space="preserve"> </w:t>
      </w:r>
      <w:r w:rsidR="002379F4" w:rsidRPr="006B1E21">
        <w:t xml:space="preserve">in modo </w:t>
      </w:r>
      <w:r w:rsidR="002D3EE0">
        <w:t>strutturale</w:t>
      </w:r>
      <w:r w:rsidR="002379F4" w:rsidRPr="006B1E21">
        <w:t xml:space="preserve"> </w:t>
      </w:r>
      <w:r w:rsidRPr="006B1E21">
        <w:t>il</w:t>
      </w:r>
      <w:r w:rsidR="00EA4404" w:rsidRPr="006B1E21">
        <w:t xml:space="preserve"> </w:t>
      </w:r>
      <w:r w:rsidR="00B24106" w:rsidRPr="006B1E21">
        <w:t>territorio</w:t>
      </w:r>
      <w:r w:rsidR="00EA4404" w:rsidRPr="006B1E21">
        <w:t xml:space="preserve"> comunale</w:t>
      </w:r>
      <w:r w:rsidR="001D22F6" w:rsidRPr="006B1E21">
        <w:t xml:space="preserve"> e ha per definizione </w:t>
      </w:r>
      <w:r w:rsidR="002379F4" w:rsidRPr="006B1E21">
        <w:t xml:space="preserve">un </w:t>
      </w:r>
      <w:r w:rsidR="001D22F6" w:rsidRPr="006B1E21">
        <w:t xml:space="preserve">carattere universale, nel senso che </w:t>
      </w:r>
      <w:r w:rsidR="002379F4" w:rsidRPr="006B1E21">
        <w:t>è diretto</w:t>
      </w:r>
      <w:r w:rsidR="001D22F6" w:rsidRPr="006B1E21">
        <w:t xml:space="preserve"> </w:t>
      </w:r>
      <w:r w:rsidRPr="006B1E21">
        <w:t xml:space="preserve">in </w:t>
      </w:r>
      <w:r w:rsidR="002379F4" w:rsidRPr="006B1E21">
        <w:t>via</w:t>
      </w:r>
      <w:r w:rsidRPr="006B1E21">
        <w:t xml:space="preserve"> indifferenziat</w:t>
      </w:r>
      <w:r w:rsidR="002379F4" w:rsidRPr="006B1E21">
        <w:t>a</w:t>
      </w:r>
      <w:r w:rsidR="001D22F6" w:rsidRPr="006B1E21">
        <w:t xml:space="preserve"> </w:t>
      </w:r>
      <w:r w:rsidR="002379F4" w:rsidRPr="006B1E21">
        <w:t xml:space="preserve">a </w:t>
      </w:r>
      <w:r w:rsidR="001D22F6" w:rsidRPr="006B1E21">
        <w:t xml:space="preserve">tutti i cittadini residenti nel Comune. </w:t>
      </w:r>
    </w:p>
    <w:p w14:paraId="6E1DE4F0" w14:textId="6168B129" w:rsidR="00EA4404" w:rsidRPr="006B1E21" w:rsidRDefault="00EA4404" w:rsidP="00F559E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</w:pPr>
      <w:r w:rsidRPr="006B1E21">
        <w:t>La tutela del</w:t>
      </w:r>
      <w:r w:rsidR="00B24106" w:rsidRPr="006B1E21">
        <w:t xml:space="preserve">la salute pubblica </w:t>
      </w:r>
      <w:r w:rsidR="00345766" w:rsidRPr="006B1E21">
        <w:t xml:space="preserve">e dell’ambiente </w:t>
      </w:r>
      <w:r w:rsidRPr="006B1E21">
        <w:t xml:space="preserve">giustifica </w:t>
      </w:r>
      <w:r w:rsidR="002379F4" w:rsidRPr="006B1E21">
        <w:t xml:space="preserve">gli </w:t>
      </w:r>
      <w:r w:rsidRPr="006B1E21">
        <w:t xml:space="preserve">interventi di regolamentazione </w:t>
      </w:r>
      <w:r w:rsidR="002379F4" w:rsidRPr="006B1E21">
        <w:t>da parte de</w:t>
      </w:r>
      <w:r w:rsidRPr="006B1E21">
        <w:t xml:space="preserve">ll'ente </w:t>
      </w:r>
      <w:r w:rsidR="00EC5208" w:rsidRPr="006B1E21">
        <w:t xml:space="preserve">locale </w:t>
      </w:r>
      <w:r w:rsidRPr="006B1E21">
        <w:t>concedente</w:t>
      </w:r>
      <w:r w:rsidR="00EC5208" w:rsidRPr="006B1E21">
        <w:t xml:space="preserve">, </w:t>
      </w:r>
      <w:r w:rsidR="002379F4" w:rsidRPr="006B1E21">
        <w:t>il quale</w:t>
      </w:r>
      <w:r w:rsidR="00BD5139" w:rsidRPr="006B1E21">
        <w:t xml:space="preserve"> deve imporre al </w:t>
      </w:r>
      <w:r w:rsidRPr="006B1E21">
        <w:t>gestore del servizio determinati standard qualitativi e quantitativi</w:t>
      </w:r>
      <w:r w:rsidR="00BD5139" w:rsidRPr="006B1E21">
        <w:t xml:space="preserve"> di svolgimento del servizio</w:t>
      </w:r>
      <w:r w:rsidRPr="006B1E21">
        <w:t>.</w:t>
      </w:r>
    </w:p>
    <w:p w14:paraId="35A88A9E" w14:textId="28C04E2E" w:rsidR="00BD5139" w:rsidRPr="006B1E21" w:rsidRDefault="004B032E" w:rsidP="008D2A61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 w:line="264" w:lineRule="auto"/>
        <w:jc w:val="both"/>
        <w:rPr>
          <w:b/>
          <w:u w:val="single"/>
        </w:rPr>
      </w:pPr>
      <w:r>
        <w:t>G</w:t>
      </w:r>
      <w:r w:rsidR="002379F4" w:rsidRPr="006B1E21">
        <w:t>li</w:t>
      </w:r>
      <w:r w:rsidR="00EA4404" w:rsidRPr="006B1E21">
        <w:t xml:space="preserve"> obblighi </w:t>
      </w:r>
      <w:r>
        <w:t>prescritti</w:t>
      </w:r>
      <w:r w:rsidR="002379F4" w:rsidRPr="006B1E21">
        <w:t xml:space="preserve"> devono</w:t>
      </w:r>
      <w:r w:rsidR="00EA4404" w:rsidRPr="006B1E21">
        <w:t xml:space="preserve"> garantire che </w:t>
      </w:r>
      <w:r w:rsidR="002379F4" w:rsidRPr="006B1E21">
        <w:t xml:space="preserve">il servizio sia prestato in modo continuo nelle ore serali e notturne </w:t>
      </w:r>
      <w:r w:rsidR="00EA4404" w:rsidRPr="006B1E21">
        <w:t>(</w:t>
      </w:r>
      <w:r w:rsidR="00EA4404" w:rsidRPr="004B032E">
        <w:rPr>
          <w:i/>
          <w:iCs/>
        </w:rPr>
        <w:t>continuità</w:t>
      </w:r>
      <w:r w:rsidR="00EA4404" w:rsidRPr="006B1E21">
        <w:t xml:space="preserve">), a favore di tutti gli utenti e </w:t>
      </w:r>
      <w:r w:rsidR="002379F4" w:rsidRPr="006B1E21">
        <w:t>sull’intero</w:t>
      </w:r>
      <w:r w:rsidR="00EA4404" w:rsidRPr="006B1E21">
        <w:t xml:space="preserve"> territorio </w:t>
      </w:r>
      <w:r w:rsidR="002379F4" w:rsidRPr="006B1E21">
        <w:t xml:space="preserve">comunale </w:t>
      </w:r>
      <w:r w:rsidR="00EA4404" w:rsidRPr="006B1E21">
        <w:t>(</w:t>
      </w:r>
      <w:r w:rsidR="00EA4404" w:rsidRPr="004B032E">
        <w:rPr>
          <w:i/>
          <w:iCs/>
        </w:rPr>
        <w:t>universalità</w:t>
      </w:r>
      <w:r w:rsidR="00EA4404" w:rsidRPr="006B1E21">
        <w:t xml:space="preserve">), indipendentemente </w:t>
      </w:r>
      <w:r w:rsidR="002379F4" w:rsidRPr="006B1E21">
        <w:t>da</w:t>
      </w:r>
      <w:r w:rsidR="00EA4404" w:rsidRPr="006B1E21">
        <w:t xml:space="preserve"> circostanze particolari e dal </w:t>
      </w:r>
      <w:r w:rsidR="002379F4" w:rsidRPr="006B1E21">
        <w:t>rendimento</w:t>
      </w:r>
      <w:r w:rsidR="00EA4404" w:rsidRPr="006B1E21">
        <w:t xml:space="preserve"> economic</w:t>
      </w:r>
      <w:r w:rsidR="002379F4" w:rsidRPr="006B1E21">
        <w:t>o dell’attività</w:t>
      </w:r>
      <w:r w:rsidR="00EA4404" w:rsidRPr="006B1E21">
        <w:t>.</w:t>
      </w:r>
      <w:r w:rsidR="00BD5139" w:rsidRPr="006B1E21">
        <w:rPr>
          <w:b/>
          <w:u w:val="single"/>
        </w:rPr>
        <w:br w:type="page"/>
      </w:r>
    </w:p>
    <w:p w14:paraId="2E10D620" w14:textId="0CE7DA26" w:rsidR="00C555CA" w:rsidRPr="006B1E21" w:rsidRDefault="00EA4404" w:rsidP="00F559EB">
      <w:pPr>
        <w:spacing w:after="120" w:line="264" w:lineRule="auto"/>
        <w:jc w:val="both"/>
        <w:rPr>
          <w:b/>
          <w:u w:val="single"/>
        </w:rPr>
      </w:pPr>
      <w:r w:rsidRPr="006B1E21">
        <w:rPr>
          <w:b/>
          <w:u w:val="single"/>
        </w:rPr>
        <w:lastRenderedPageBreak/>
        <w:t>SEZ</w:t>
      </w:r>
      <w:r w:rsidR="00C555CA" w:rsidRPr="006B1E21">
        <w:rPr>
          <w:b/>
          <w:u w:val="single"/>
        </w:rPr>
        <w:t>IONE C</w:t>
      </w:r>
    </w:p>
    <w:p w14:paraId="56F358C0" w14:textId="77777777" w:rsidR="00C555CA" w:rsidRPr="006B1E21" w:rsidRDefault="00C555CA" w:rsidP="00F559EB">
      <w:pPr>
        <w:spacing w:after="120" w:line="264" w:lineRule="auto"/>
        <w:jc w:val="both"/>
        <w:rPr>
          <w:b/>
        </w:rPr>
      </w:pPr>
      <w:r w:rsidRPr="006B1E21">
        <w:rPr>
          <w:b/>
          <w:caps/>
        </w:rPr>
        <w:t>MODALITà DI AFFIDAMENTO</w:t>
      </w:r>
      <w:r w:rsidRPr="006B1E21">
        <w:rPr>
          <w:b/>
        </w:rPr>
        <w:t xml:space="preserve"> PRESCELTA</w:t>
      </w:r>
    </w:p>
    <w:p w14:paraId="50A09065" w14:textId="6E236E4E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Come anticipato nella sezione A</w:t>
      </w:r>
      <w:r w:rsidR="004B032E">
        <w:t>)</w:t>
      </w:r>
      <w:r w:rsidRPr="006B1E21">
        <w:t xml:space="preserve"> della relazione, l’illuminazione pubblica è un servizio pubblico locale di rilevanza economica che può essere affidato </w:t>
      </w:r>
      <w:r w:rsidR="004B032E">
        <w:t>con</w:t>
      </w:r>
      <w:r w:rsidRPr="006B1E21">
        <w:t xml:space="preserve"> tre </w:t>
      </w:r>
      <w:r w:rsidR="004B032E">
        <w:t xml:space="preserve">diverse </w:t>
      </w:r>
      <w:r w:rsidRPr="006B1E21">
        <w:t>modalità:</w:t>
      </w:r>
    </w:p>
    <w:p w14:paraId="3AD059F1" w14:textId="77777777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a) </w:t>
      </w:r>
      <w:r w:rsidRPr="006B1E21">
        <w:rPr>
          <w:i/>
        </w:rPr>
        <w:t>gara ad evidenza pubblica</w:t>
      </w:r>
      <w:r w:rsidRPr="006B1E21">
        <w:t>, applicando le procedure indicate dal d.lgs. 50/2016, inerenti all’affidamento di appalti e concessioni di servizi pubblici;</w:t>
      </w:r>
    </w:p>
    <w:p w14:paraId="661757ED" w14:textId="64F99E3A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b) </w:t>
      </w:r>
      <w:r w:rsidRPr="006B1E21">
        <w:rPr>
          <w:i/>
        </w:rPr>
        <w:t>affidamento a società a capitale misto pubblico-privato</w:t>
      </w:r>
      <w:r w:rsidRPr="006B1E21">
        <w:t xml:space="preserve"> con procedura di gara per la scelta del socio privato, a cui attribuire specifici compiti operativi connessi alla gestione del servizio (procedura cd. a “doppio oggetto”</w:t>
      </w:r>
      <w:r w:rsidR="004B032E">
        <w:t xml:space="preserve"> ex </w:t>
      </w:r>
      <w:r w:rsidRPr="006B1E21">
        <w:t>art. 17 TUSP);</w:t>
      </w:r>
    </w:p>
    <w:p w14:paraId="28951616" w14:textId="49930DCB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c) </w:t>
      </w:r>
      <w:r w:rsidRPr="006B1E21">
        <w:rPr>
          <w:i/>
        </w:rPr>
        <w:t>affidamento diretto del servizio a società in house</w:t>
      </w:r>
      <w:r w:rsidRPr="006B1E21">
        <w:t xml:space="preserve"> </w:t>
      </w:r>
      <w:r w:rsidR="004B032E">
        <w:t>(</w:t>
      </w:r>
      <w:r w:rsidR="00707D8F" w:rsidRPr="006B1E21">
        <w:t>art</w:t>
      </w:r>
      <w:r w:rsidR="004B032E">
        <w:t xml:space="preserve">icoli </w:t>
      </w:r>
      <w:r w:rsidRPr="006B1E21">
        <w:t>5</w:t>
      </w:r>
      <w:r w:rsidR="004B032E">
        <w:t xml:space="preserve"> e</w:t>
      </w:r>
      <w:r w:rsidR="00707D8F" w:rsidRPr="006B1E21">
        <w:t xml:space="preserve"> 192 </w:t>
      </w:r>
      <w:r w:rsidRPr="006B1E21">
        <w:t>cod. app. e art. 16 TUSP</w:t>
      </w:r>
      <w:r w:rsidR="004B032E">
        <w:t>)</w:t>
      </w:r>
      <w:r w:rsidRPr="006B1E21">
        <w:t>.</w:t>
      </w:r>
    </w:p>
    <w:p w14:paraId="7A7D0E8C" w14:textId="134B631A" w:rsidR="00C62753" w:rsidRPr="006B1E21" w:rsidRDefault="00615710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S</w:t>
      </w:r>
      <w:r w:rsidR="00C62753" w:rsidRPr="006B1E21">
        <w:t>e un Ente locale decide di ricorrere all’affidamento in house, deve dimostrare che la società possiede i requisiti</w:t>
      </w:r>
      <w:r w:rsidR="00BC5C25" w:rsidRPr="006B1E21">
        <w:t xml:space="preserve"> per l’affidamento</w:t>
      </w:r>
      <w:r w:rsidR="00C62753" w:rsidRPr="006B1E21">
        <w:t xml:space="preserve"> </w:t>
      </w:r>
      <w:r w:rsidR="00C62753" w:rsidRPr="006B1E21">
        <w:rPr>
          <w:i/>
        </w:rPr>
        <w:t xml:space="preserve">in house </w:t>
      </w:r>
      <w:r w:rsidR="00C62753" w:rsidRPr="006B1E21">
        <w:t>previsti dall’ordinamento europeo</w:t>
      </w:r>
      <w:r>
        <w:t xml:space="preserve"> (</w:t>
      </w:r>
      <w:r w:rsidRPr="006B1E21">
        <w:t>articoli 5 cod. app. e 16 TUSP</w:t>
      </w:r>
      <w:r>
        <w:t>)</w:t>
      </w:r>
      <w:r w:rsidR="00C62753" w:rsidRPr="006B1E21">
        <w:t>, vale a dire:</w:t>
      </w:r>
    </w:p>
    <w:p w14:paraId="2AA418C8" w14:textId="77777777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(i) </w:t>
      </w:r>
      <w:r w:rsidRPr="006B1E21">
        <w:rPr>
          <w:b/>
          <w:i/>
        </w:rPr>
        <w:t>partecipazione pubblica totalitaria</w:t>
      </w:r>
      <w:r w:rsidRPr="006B1E21">
        <w:t>: la società non deve essere partecipata da capitali privati, ma solo da Enti pubblici o da società a capitale interamente pubblico;</w:t>
      </w:r>
    </w:p>
    <w:p w14:paraId="74577750" w14:textId="19441F35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(ii) </w:t>
      </w:r>
      <w:r w:rsidRPr="006B1E21">
        <w:rPr>
          <w:b/>
          <w:i/>
        </w:rPr>
        <w:t>controllo analogo</w:t>
      </w:r>
      <w:r w:rsidRPr="006B1E21">
        <w:t xml:space="preserve">: l’Ente affidante deve esercitare sulla società </w:t>
      </w:r>
      <w:r w:rsidRPr="006B1E21">
        <w:rPr>
          <w:i/>
        </w:rPr>
        <w:t>in house</w:t>
      </w:r>
      <w:r w:rsidRPr="006B1E21">
        <w:t xml:space="preserve"> un controllo analogo a quello che esercita sui propri servizi, attraverso un’influenza determinate sugli obiettivi strategici e sulle decisioni rilevanti. Tale controllo implica che l’Ente affidante è in grado di esercitare un’influenza determinante sugli obiettivi strategici e sulle decisioni rilevanti della società, mediante poteri di direttiva, di nomina e revoca degli amministratori, e con poteri di vigilanza e ispettivi. In pratica, per controllo analogo si intende un rapporto equivalente ad una relazione di subordinazione gerarchica, cioè quando sussiste un controllo gestionale e finanziario stringente dell’Ente pubblico sull’organismo societario;</w:t>
      </w:r>
    </w:p>
    <w:p w14:paraId="5A891CEA" w14:textId="230D6349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(iii) </w:t>
      </w:r>
      <w:r w:rsidRPr="006B1E21">
        <w:rPr>
          <w:b/>
          <w:i/>
        </w:rPr>
        <w:t>attività prevalente</w:t>
      </w:r>
      <w:r w:rsidRPr="006B1E21">
        <w:t xml:space="preserve">: </w:t>
      </w:r>
      <w:r w:rsidR="00A80B88">
        <w:t xml:space="preserve">oltre </w:t>
      </w:r>
      <w:r w:rsidRPr="006B1E21">
        <w:t xml:space="preserve">l’80% del fatturato della società </w:t>
      </w:r>
      <w:r w:rsidRPr="006B1E21">
        <w:rPr>
          <w:i/>
        </w:rPr>
        <w:t>in house</w:t>
      </w:r>
      <w:r w:rsidRPr="006B1E21">
        <w:t xml:space="preserve"> deve derivare da servizi affidati dai Comuni soci. </w:t>
      </w:r>
      <w:r w:rsidR="00A80B88">
        <w:t>Questo</w:t>
      </w:r>
      <w:r w:rsidRPr="006B1E21">
        <w:t xml:space="preserve"> requisito può essere dimostrato in base al fatturato ottenuto dalla società negli ultimi tre anni o, in alternativa, sulla base di una proiezione futura dell’attività che dimostri – in maniera credibile – che la società sarà in grado di ottenere la maggior parte </w:t>
      </w:r>
      <w:r w:rsidR="00BC5C25" w:rsidRPr="006B1E21">
        <w:t>del suo</w:t>
      </w:r>
      <w:r w:rsidRPr="006B1E21">
        <w:t xml:space="preserve"> fatturato dai servizi affidati dagli Enti soci. </w:t>
      </w:r>
    </w:p>
    <w:p w14:paraId="592729BA" w14:textId="139A9B38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Nel nostro caso, il Comune intende affidare il servizio di illuminazione pubblica a Cogeser Servizi, la quale possiede tutti i requisiti </w:t>
      </w:r>
      <w:r w:rsidR="00367489" w:rsidRPr="006B1E21">
        <w:t xml:space="preserve">necessari per l’affidamento </w:t>
      </w:r>
      <w:r w:rsidRPr="006B1E21">
        <w:rPr>
          <w:i/>
        </w:rPr>
        <w:t xml:space="preserve">in house </w:t>
      </w:r>
      <w:r w:rsidRPr="006B1E21">
        <w:t xml:space="preserve">sopra </w:t>
      </w:r>
      <w:r w:rsidR="00A80B88">
        <w:t>richiamati</w:t>
      </w:r>
      <w:r w:rsidRPr="006B1E21">
        <w:t xml:space="preserve">. </w:t>
      </w:r>
    </w:p>
    <w:p w14:paraId="4E78B3EA" w14:textId="6AC617AD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Cogeser Servizi rispetta il requisito della partecipazione pubblica totalitaria, perché la società non è partecipata da soggetti privati ma solo da Enti pubblici o da società interamente partecipate da tali Enti. Infatti, soci di Cogeser Servizi sono</w:t>
      </w:r>
      <w:r w:rsidR="00C5438E">
        <w:t>, in aggiunta alla partecipazione che sarà acquisita dal nostro Comune,</w:t>
      </w:r>
      <w:r w:rsidRPr="006B1E21">
        <w:t xml:space="preserve"> i Comuni di Melzo, Inzago, Pioltello, </w:t>
      </w:r>
      <w:r w:rsidR="00C5438E">
        <w:t>Roncello</w:t>
      </w:r>
      <w:r w:rsidRPr="006B1E21">
        <w:t xml:space="preserve"> e Gorgonzola e Cogeser S.p.A. che</w:t>
      </w:r>
      <w:r w:rsidR="00E03254">
        <w:t>,</w:t>
      </w:r>
      <w:r w:rsidRPr="006B1E21">
        <w:t xml:space="preserve"> a sua volta</w:t>
      </w:r>
      <w:r w:rsidR="00E03254">
        <w:t>,</w:t>
      </w:r>
      <w:r w:rsidRPr="006B1E21">
        <w:t xml:space="preserve"> </w:t>
      </w:r>
      <w:r w:rsidR="00C5438E" w:rsidRPr="006B1E21">
        <w:t xml:space="preserve">è </w:t>
      </w:r>
      <w:r w:rsidRPr="006B1E21">
        <w:t>una società interamente partecipata da Enti locali.</w:t>
      </w:r>
    </w:p>
    <w:p w14:paraId="079AEEB4" w14:textId="1A71ABFD" w:rsidR="00C62753" w:rsidRPr="006B1E21" w:rsidRDefault="00F559E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Inoltre,</w:t>
      </w:r>
      <w:r w:rsidR="00C62753" w:rsidRPr="006B1E21">
        <w:t xml:space="preserve"> in base gli articoli 5 e 7 dello statuto, Cogeser Servizi non può essere partecipata da soggetti privati, ma solo da Enti locali o da società di capitali a </w:t>
      </w:r>
      <w:r w:rsidR="00C62753" w:rsidRPr="007551E2">
        <w:rPr>
          <w:b/>
          <w:bCs/>
        </w:rPr>
        <w:t>totale partecipazione pubblica</w:t>
      </w:r>
      <w:r w:rsidR="00C62753" w:rsidRPr="006B1E21">
        <w:t>.</w:t>
      </w:r>
    </w:p>
    <w:p w14:paraId="5DC428EF" w14:textId="20CC9837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Cogeser Servizi rispetta il requisito del </w:t>
      </w:r>
      <w:r w:rsidRPr="007551E2">
        <w:rPr>
          <w:b/>
          <w:bCs/>
        </w:rPr>
        <w:t>controllo analogo</w:t>
      </w:r>
      <w:r w:rsidRPr="006B1E21">
        <w:t>, perché il</w:t>
      </w:r>
      <w:r w:rsidR="00E03254">
        <w:t xml:space="preserve"> nostro</w:t>
      </w:r>
      <w:r w:rsidRPr="006B1E21">
        <w:t xml:space="preserve"> Comune – insieme agli altri Comuni soci della società – </w:t>
      </w:r>
      <w:r w:rsidR="00E03254">
        <w:t xml:space="preserve">ha il potere di </w:t>
      </w:r>
      <w:r w:rsidRPr="006B1E21">
        <w:t>influire in maniera determinante sull’attività della società, per i seguenti motivi.</w:t>
      </w:r>
    </w:p>
    <w:p w14:paraId="496345D8" w14:textId="084ABDB3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In primo luogo, </w:t>
      </w:r>
      <w:r w:rsidR="00E03254">
        <w:t>come</w:t>
      </w:r>
      <w:r w:rsidRPr="006B1E21">
        <w:t xml:space="preserve"> socio, il </w:t>
      </w:r>
      <w:r w:rsidR="00E03254">
        <w:t xml:space="preserve">nostro </w:t>
      </w:r>
      <w:r w:rsidRPr="006B1E21">
        <w:t>Comune concorre</w:t>
      </w:r>
      <w:r w:rsidR="00681607">
        <w:t>rà</w:t>
      </w:r>
      <w:r w:rsidRPr="006B1E21">
        <w:t xml:space="preserve"> con gli altri Enti locali soci alla nomina degli amministratori della società (art. 17 statuto).</w:t>
      </w:r>
    </w:p>
    <w:p w14:paraId="165EBA5D" w14:textId="7FDBD3B6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In secondo luogo, il patto parasociale </w:t>
      </w:r>
      <w:r w:rsidR="0054098E">
        <w:t>tra i soci</w:t>
      </w:r>
      <w:r w:rsidR="001E2336">
        <w:t>, diretto a</w:t>
      </w:r>
      <w:r w:rsidR="0054098E">
        <w:t xml:space="preserve"> </w:t>
      </w:r>
      <w:r w:rsidRPr="006B1E21">
        <w:t>disciplinare le modalità di esercizio del controllo analogo sulla società</w:t>
      </w:r>
      <w:r w:rsidR="001E2336">
        <w:t>, ha istituito</w:t>
      </w:r>
      <w:r w:rsidRPr="006B1E21">
        <w:t xml:space="preserve"> il Comitato di indirizzo di controllo (Comitato), </w:t>
      </w:r>
      <w:r w:rsidR="00C37CDC">
        <w:t>che</w:t>
      </w:r>
      <w:r w:rsidRPr="006B1E21">
        <w:t xml:space="preserve"> è un organismo </w:t>
      </w:r>
      <w:r w:rsidRPr="006B1E21">
        <w:lastRenderedPageBreak/>
        <w:t xml:space="preserve">composto dai rappresentanti dei Comuni soci di Cogeser </w:t>
      </w:r>
      <w:r w:rsidR="00272FD4" w:rsidRPr="006B1E21">
        <w:t>Servizi,</w:t>
      </w:r>
      <w:r w:rsidR="00C37CDC">
        <w:t xml:space="preserve"> il quale</w:t>
      </w:r>
      <w:r w:rsidRPr="006B1E21">
        <w:t xml:space="preserve"> esercita poteri di controllo preventivo, consultazione e verifica sulla gestione della Società per conto degli Enti pubblici soci (art. 7.1 patto parasociale).</w:t>
      </w:r>
    </w:p>
    <w:p w14:paraId="4B203CD4" w14:textId="66B08E0F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In particolare, il Comitato incide in </w:t>
      </w:r>
      <w:r w:rsidR="00C37CDC">
        <w:t>modo</w:t>
      </w:r>
      <w:r w:rsidRPr="006B1E21">
        <w:t xml:space="preserve"> determinante sull’attività delle società perché:</w:t>
      </w:r>
    </w:p>
    <w:p w14:paraId="2ECA7B74" w14:textId="2596F27C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1. ha il potere di individuare – in accordo con Cogeser </w:t>
      </w:r>
      <w:r w:rsidR="00BC5C25" w:rsidRPr="006B1E21">
        <w:t>S.p.A.</w:t>
      </w:r>
      <w:r w:rsidRPr="006B1E21">
        <w:t xml:space="preserve"> - il candidato che ricoprirà la carica di amministratore unico o, in caso di amministrazione collegiale, i soggetti che faranno parte del C.d.A. di Cogeser Servizi (art. 8 patto parasociale);</w:t>
      </w:r>
    </w:p>
    <w:p w14:paraId="28EED8A0" w14:textId="54EF2E43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2. ha il potere di individuare – insieme al Cogeser S.p.A. – il soggetto che ricoprirà la carica di Sindaco Unico di Cogeser Servizi</w:t>
      </w:r>
      <w:r w:rsidR="00C37CDC">
        <w:t>;</w:t>
      </w:r>
      <w:r w:rsidRPr="006B1E21">
        <w:t xml:space="preserve"> </w:t>
      </w:r>
      <w:r w:rsidR="00C37CDC">
        <w:t>i</w:t>
      </w:r>
      <w:r w:rsidRPr="006B1E21">
        <w:t>n caso di Collegio Sindacale collegiale, invece, il Comitato designa un sindaco effettivo e uno supplente (art. 9);</w:t>
      </w:r>
    </w:p>
    <w:p w14:paraId="6DF9308A" w14:textId="77777777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3. autorizza preventivamente il C.d.A. a sottoporre all’assemblea dei soci di Cogeser Servizi l’approvazione delle seguenti decisioni: (i) piano industriale; (ii) bilancio di previsione annuale e pluriennale che include a sua volta: a) la quantificazione dei ricavi e dei costi delle spese annuali e pluriennali della società; b) il piano degli investimenti della società e la relativa copertura finanziaria (art. 7);</w:t>
      </w:r>
    </w:p>
    <w:p w14:paraId="0BC803BD" w14:textId="77777777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4. ha il potere di autorizzare l’ingresso di nuovi soci nella compagine sociale di Cogeser Servizi (art. 11);</w:t>
      </w:r>
    </w:p>
    <w:p w14:paraId="134428D4" w14:textId="66F0652F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5. ogni semestre gli amministratori di Cogeser Servizi sono tenuti a trasmettere al Comitato la relazione sull’andamento generale della società e sulle operazioni di maggior rilievo</w:t>
      </w:r>
      <w:r w:rsidR="00EC12EE">
        <w:t>,</w:t>
      </w:r>
      <w:r w:rsidRPr="006B1E21">
        <w:t xml:space="preserve"> oltre a ulteriori documenti integrativi sull’attività di Cogeser Servizi, se richiesti dallo stesso Comitato.</w:t>
      </w:r>
    </w:p>
    <w:p w14:paraId="38DF0536" w14:textId="77777777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A sua volta, il Comitato – in sede di approvazione del bilancio – verifica se la società ha raggiunto gli obiettivi fissati nell’anno precedente e informa costantemente i Comuni soci sull’attività di controllo svolta (art. 7).</w:t>
      </w:r>
    </w:p>
    <w:p w14:paraId="5ED7CB4C" w14:textId="133795EA" w:rsidR="00C62753" w:rsidRPr="006B1E21" w:rsidRDefault="00C6275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Perciò, considerati i poteri di controllo esercitati dal Comitato, si ritiene che il </w:t>
      </w:r>
      <w:r w:rsidR="00EC12EE">
        <w:t xml:space="preserve">nostro </w:t>
      </w:r>
      <w:r w:rsidRPr="006B1E21">
        <w:t>Comune</w:t>
      </w:r>
      <w:r w:rsidR="00EC12EE">
        <w:t xml:space="preserve">, </w:t>
      </w:r>
      <w:r w:rsidR="00AF45A7">
        <w:t xml:space="preserve">insieme con </w:t>
      </w:r>
      <w:r w:rsidRPr="006B1E21">
        <w:t>gli altri Enti locali soci</w:t>
      </w:r>
      <w:r w:rsidR="00AF45A7">
        <w:t xml:space="preserve"> della società,</w:t>
      </w:r>
      <w:r w:rsidRPr="006B1E21">
        <w:t xml:space="preserve"> </w:t>
      </w:r>
      <w:r w:rsidR="00AF45A7">
        <w:t xml:space="preserve">è </w:t>
      </w:r>
      <w:r w:rsidRPr="006B1E21">
        <w:t>in grado di esercitare su Cogeser Servizi il controllo analogo congiunto.</w:t>
      </w:r>
    </w:p>
    <w:p w14:paraId="4A8C6AD6" w14:textId="7DEDD8F7" w:rsidR="00C62753" w:rsidRPr="006B1E21" w:rsidRDefault="00AF45A7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 xml:space="preserve">Per quanto riguarda, infine, </w:t>
      </w:r>
      <w:r>
        <w:rPr>
          <w:b/>
          <w:bCs/>
        </w:rPr>
        <w:t xml:space="preserve">l’attività prevalente </w:t>
      </w:r>
      <w:r>
        <w:t>svol</w:t>
      </w:r>
      <w:r w:rsidR="00FF7CDF">
        <w:t xml:space="preserve">ta nell’esecuzione dei compiti assegnati dai comuni soci, </w:t>
      </w:r>
      <w:r w:rsidR="00C62753" w:rsidRPr="006B1E21">
        <w:t>l’art. 4 dello statuto di Cogeser Servizi stabilisce che la società è obbligata a realizzare oltre l’80% del fatturato annuale nello svolgimento dei compiti ad essa affidati dagli Enti pubblici soci.</w:t>
      </w:r>
    </w:p>
    <w:p w14:paraId="0CF6D765" w14:textId="7FDDC26D" w:rsidR="00DA75EC" w:rsidRPr="006B1E21" w:rsidRDefault="00DA75EC" w:rsidP="00DA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Di conseguenza, in conformità </w:t>
      </w:r>
      <w:r w:rsidR="0074290D">
        <w:t>con il</w:t>
      </w:r>
      <w:r w:rsidRPr="006B1E21">
        <w:t xml:space="preserve"> requisito dell’attività prevalente previsto dall’art. 5 cod. app. e dall’art. 16 TUSP, lo statuto evidenzia che Cogeser Servizi ha l’obbligo di svolgere la maggior parte della sua attività </w:t>
      </w:r>
      <w:r w:rsidR="0074290D">
        <w:t>a</w:t>
      </w:r>
      <w:r w:rsidRPr="006B1E21">
        <w:t xml:space="preserve"> favore dei soci pubblici.</w:t>
      </w:r>
    </w:p>
    <w:p w14:paraId="74B1FBE1" w14:textId="09FB40A1" w:rsidR="00DA75EC" w:rsidRPr="006B1E21" w:rsidRDefault="00DA75EC" w:rsidP="00DA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 xml:space="preserve">Cogeser Servizi </w:t>
      </w:r>
      <w:r>
        <w:t xml:space="preserve">ottiene già adesso una quota superiore all’80% del suo fatturato </w:t>
      </w:r>
      <w:r w:rsidRPr="006B1E21">
        <w:t xml:space="preserve">da servizi pubblici o </w:t>
      </w:r>
      <w:r>
        <w:t xml:space="preserve">appalti </w:t>
      </w:r>
      <w:r w:rsidRPr="006B1E21">
        <w:t xml:space="preserve">strumentali affidati dai Comuni soci e, quindi, rispetta pienamente il requisito dell’attività prevalente. </w:t>
      </w:r>
      <w:r>
        <w:t>Peraltro, la quota attuale dell’attività svolta a favore degli enti pubblici soci è destinata ad aumentare nei prossimi anni, con l’effetto che</w:t>
      </w:r>
      <w:r w:rsidR="00172252">
        <w:t>,</w:t>
      </w:r>
      <w:r>
        <w:t xml:space="preserve"> in futuro</w:t>
      </w:r>
      <w:r w:rsidR="00172252">
        <w:t>,</w:t>
      </w:r>
      <w:r>
        <w:t xml:space="preserve"> la quasi totalità del fatturato deriverà dai servizi e compiti affidati dai Comuni soci</w:t>
      </w:r>
      <w:r w:rsidR="00172252">
        <w:t>, come risulta dalla tabella di analisi del fatturato della societ</w:t>
      </w:r>
      <w:r w:rsidR="004F3EF6">
        <w:t>à sotto riprodotta.</w:t>
      </w:r>
    </w:p>
    <w:p w14:paraId="0E375E7C" w14:textId="68DBDF80" w:rsidR="008808B7" w:rsidRPr="006B1E21" w:rsidRDefault="008808B7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75193E39" w14:textId="77202908" w:rsidR="00FD1C79" w:rsidRPr="006B1E21" w:rsidRDefault="00FD1C79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0F8AE063" w14:textId="77777777" w:rsidR="003751BB" w:rsidRDefault="003751B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69877B8F" w14:textId="77777777" w:rsidR="003751BB" w:rsidRDefault="003751B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59919F04" w14:textId="53DD23D0" w:rsidR="003751BB" w:rsidRDefault="003751B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3751BB">
        <w:rPr>
          <w:noProof/>
        </w:rPr>
        <w:lastRenderedPageBreak/>
        <w:drawing>
          <wp:inline distT="0" distB="0" distL="0" distR="0" wp14:anchorId="188A287F" wp14:editId="1E8D37AA">
            <wp:extent cx="6120130" cy="58153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DB03" w14:textId="3855D4EC" w:rsidR="00DA75EC" w:rsidRDefault="00DA75EC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Legenda: </w:t>
      </w:r>
    </w:p>
    <w:p w14:paraId="1976140F" w14:textId="36BAE1EB" w:rsidR="00DA75EC" w:rsidRDefault="00DA75EC" w:rsidP="00DA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  <w:rPr>
          <w:i/>
          <w:iCs/>
        </w:rPr>
      </w:pPr>
      <w:r>
        <w:rPr>
          <w:b/>
          <w:bCs/>
        </w:rPr>
        <w:t>ACT</w:t>
      </w:r>
      <w:r>
        <w:t xml:space="preserve">: </w:t>
      </w:r>
      <w:proofErr w:type="spellStart"/>
      <w:r>
        <w:rPr>
          <w:i/>
          <w:iCs/>
        </w:rPr>
        <w:t>actual</w:t>
      </w:r>
      <w:proofErr w:type="spellEnd"/>
      <w:r>
        <w:rPr>
          <w:i/>
          <w:iCs/>
        </w:rPr>
        <w:t xml:space="preserve"> (dati effettivi)</w:t>
      </w:r>
    </w:p>
    <w:p w14:paraId="31B350AF" w14:textId="0A3C7339" w:rsidR="00DA75EC" w:rsidRDefault="00DA75EC" w:rsidP="00DA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  <w:rPr>
          <w:i/>
          <w:iCs/>
        </w:rPr>
      </w:pPr>
      <w:r>
        <w:rPr>
          <w:b/>
          <w:bCs/>
        </w:rPr>
        <w:t>Est</w:t>
      </w:r>
      <w:r>
        <w:t xml:space="preserve">: </w:t>
      </w:r>
      <w:proofErr w:type="spellStart"/>
      <w:r>
        <w:rPr>
          <w:i/>
          <w:iCs/>
        </w:rPr>
        <w:t>estimated</w:t>
      </w:r>
      <w:proofErr w:type="spellEnd"/>
      <w:r>
        <w:rPr>
          <w:i/>
          <w:iCs/>
        </w:rPr>
        <w:t xml:space="preserve"> (dati stimati)</w:t>
      </w:r>
    </w:p>
    <w:p w14:paraId="33F47B35" w14:textId="0BFD4440" w:rsidR="00DA75EC" w:rsidRDefault="00DA75EC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  <w:rPr>
          <w:i/>
          <w:iCs/>
        </w:rPr>
      </w:pPr>
      <w:r w:rsidRPr="00DA75EC">
        <w:rPr>
          <w:b/>
          <w:bCs/>
        </w:rPr>
        <w:t>TLR</w:t>
      </w:r>
      <w:r>
        <w:t xml:space="preserve">: </w:t>
      </w:r>
      <w:r>
        <w:rPr>
          <w:i/>
          <w:iCs/>
        </w:rPr>
        <w:t>servizio di teleriscaldamento e servizi affini</w:t>
      </w:r>
    </w:p>
    <w:p w14:paraId="06B1D638" w14:textId="00DC073B" w:rsidR="00DA75EC" w:rsidRDefault="00DA75EC" w:rsidP="00DA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  <w:rPr>
          <w:i/>
          <w:iCs/>
        </w:rPr>
      </w:pPr>
      <w:r>
        <w:rPr>
          <w:b/>
          <w:bCs/>
        </w:rPr>
        <w:t>IP</w:t>
      </w:r>
      <w:r>
        <w:t xml:space="preserve">: </w:t>
      </w:r>
      <w:r>
        <w:rPr>
          <w:i/>
          <w:iCs/>
        </w:rPr>
        <w:t>illuminazione pubblica</w:t>
      </w:r>
    </w:p>
    <w:p w14:paraId="168A1529" w14:textId="433FF4B7" w:rsidR="00DA75EC" w:rsidRDefault="00DA75EC" w:rsidP="00DA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  <w:rPr>
          <w:i/>
          <w:iCs/>
        </w:rPr>
      </w:pPr>
      <w:r>
        <w:rPr>
          <w:b/>
          <w:bCs/>
        </w:rPr>
        <w:t>PPP</w:t>
      </w:r>
      <w:r>
        <w:t xml:space="preserve">: </w:t>
      </w:r>
      <w:r>
        <w:rPr>
          <w:i/>
          <w:iCs/>
        </w:rPr>
        <w:t>partenariato pubblico privato</w:t>
      </w:r>
    </w:p>
    <w:p w14:paraId="0258A8B1" w14:textId="77777777" w:rsidR="004F3EF6" w:rsidRDefault="004F3EF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339A2A32" w14:textId="63F58248" w:rsidR="00C076EB" w:rsidRPr="006B1E21" w:rsidRDefault="00C076EB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In conclusione</w:t>
      </w:r>
      <w:r w:rsidR="004F3EF6">
        <w:t>,</w:t>
      </w:r>
      <w:r w:rsidR="004F3EF6" w:rsidRPr="004F3EF6">
        <w:t xml:space="preserve"> </w:t>
      </w:r>
      <w:r w:rsidR="004F3EF6" w:rsidRPr="006B1E21">
        <w:t>Cogeser Servizi</w:t>
      </w:r>
      <w:r w:rsidRPr="006B1E21">
        <w:t xml:space="preserve">, </w:t>
      </w:r>
      <w:r w:rsidR="004F3EF6">
        <w:t>dato che</w:t>
      </w:r>
      <w:r w:rsidRPr="006B1E21">
        <w:t xml:space="preserve"> possiede tutti i requisiti </w:t>
      </w:r>
      <w:r w:rsidR="00367489" w:rsidRPr="006B1E21">
        <w:t xml:space="preserve">per </w:t>
      </w:r>
      <w:r w:rsidRPr="006B1E21">
        <w:t>l’</w:t>
      </w:r>
      <w:r w:rsidR="00367489" w:rsidRPr="006B1E21">
        <w:t xml:space="preserve">affidamento </w:t>
      </w:r>
      <w:r w:rsidRPr="006B1E21">
        <w:t xml:space="preserve">in house, è legittimata a ottenere dal </w:t>
      </w:r>
      <w:r w:rsidR="004F3EF6">
        <w:t xml:space="preserve">nostro </w:t>
      </w:r>
      <w:r w:rsidRPr="006B1E21">
        <w:t>Comune l’affidamento diretto in house del servizio di illuminazione pubblica.</w:t>
      </w:r>
    </w:p>
    <w:p w14:paraId="250137F8" w14:textId="21429955" w:rsidR="00345766" w:rsidRPr="006B1E21" w:rsidRDefault="00073469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I</w:t>
      </w:r>
      <w:r w:rsidR="00345766" w:rsidRPr="006B1E21">
        <w:t xml:space="preserve">l ricorso all’autoproduzione, attuato </w:t>
      </w:r>
      <w:r w:rsidR="004F3EF6">
        <w:t>tramite</w:t>
      </w:r>
      <w:r w:rsidR="00345766" w:rsidRPr="006B1E21">
        <w:t xml:space="preserve"> l’affidamento ad una società in house, </w:t>
      </w:r>
      <w:r w:rsidRPr="006B1E21">
        <w:t>consente al</w:t>
      </w:r>
      <w:r w:rsidR="00345766" w:rsidRPr="006B1E21">
        <w:t xml:space="preserve">l’ente locale </w:t>
      </w:r>
      <w:r w:rsidRPr="006B1E21">
        <w:t xml:space="preserve">di avere </w:t>
      </w:r>
      <w:r w:rsidR="00345766" w:rsidRPr="006B1E21">
        <w:t xml:space="preserve">un controllo diretto sul soggetto che eroga il servizio, non diverso da quello esercitato nei confronti delle proprie strutture interne. </w:t>
      </w:r>
    </w:p>
    <w:p w14:paraId="3ACCE336" w14:textId="3C47DC3F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lastRenderedPageBreak/>
        <w:t xml:space="preserve">Ciò consente </w:t>
      </w:r>
      <w:r w:rsidR="002E5859">
        <w:t xml:space="preserve">di esercitare </w:t>
      </w:r>
      <w:r w:rsidRPr="006B1E21">
        <w:t>un’influenza diretta sull’organizzazione del servizio e sulla struttura che lo eroga, permettendo all’ente locale di modulare discrezionalmente l’erogazione del servizio, in funzione delle esigenze</w:t>
      </w:r>
      <w:r w:rsidR="002E5859">
        <w:t xml:space="preserve"> </w:t>
      </w:r>
      <w:r w:rsidRPr="006B1E21">
        <w:t>della collettività locale</w:t>
      </w:r>
      <w:r w:rsidR="00885EA1">
        <w:t xml:space="preserve"> che si manifestano nel tempo</w:t>
      </w:r>
      <w:r w:rsidRPr="006B1E21">
        <w:t xml:space="preserve">. </w:t>
      </w:r>
    </w:p>
    <w:p w14:paraId="61355858" w14:textId="77777777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Il controllo analogo previsto dalla legge e formalizzato anche nei patti parasociali consente a tutti i Comuni soci di essere in ogni momento in grado di verificare le attività svolte dalla società.</w:t>
      </w:r>
    </w:p>
    <w:p w14:paraId="568B1DFB" w14:textId="206F6C06" w:rsidR="00345766" w:rsidRPr="006B1E21" w:rsidRDefault="00885EA1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Questo</w:t>
      </w:r>
      <w:r w:rsidR="00345766" w:rsidRPr="006B1E21">
        <w:t xml:space="preserve"> risultato non sarebbe perseguibile mediante l’affidamento del servizio a terzi, poiché in tal caso si tratta di un rapporto contrattuale tra soggetti distinti, che implica necessariamente maggiore rigidità nei rapporti. </w:t>
      </w:r>
    </w:p>
    <w:p w14:paraId="320A033F" w14:textId="39A476C3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Ulteriori elementi</w:t>
      </w:r>
      <w:r w:rsidR="00885EA1">
        <w:t xml:space="preserve"> esistenti</w:t>
      </w:r>
      <w:r w:rsidRPr="006B1E21">
        <w:t xml:space="preserve"> a favore dell’affidamento in house sono: </w:t>
      </w:r>
      <w:r w:rsidRPr="006B1E21">
        <w:tab/>
      </w:r>
    </w:p>
    <w:p w14:paraId="452B524A" w14:textId="20B1A9C5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•</w:t>
      </w:r>
      <w:r w:rsidR="00367489" w:rsidRPr="006B1E21">
        <w:t xml:space="preserve"> </w:t>
      </w:r>
      <w:r w:rsidRPr="006B1E21">
        <w:t>la titolarità pubblica della gestione del servizio, seppure espletata secondo metodi imprenditoriali che assicurano condizioni di economicità ed efficienza, con conseguente attribuzione al sistema pubblico</w:t>
      </w:r>
      <w:r w:rsidR="00885EA1">
        <w:t xml:space="preserve"> </w:t>
      </w:r>
      <w:r w:rsidRPr="006B1E21">
        <w:t>di tutte le decisioni afferenti alla concreta attività gestionale del servizio</w:t>
      </w:r>
      <w:r w:rsidR="00157CFF">
        <w:t>, nell’interesse della collettività</w:t>
      </w:r>
      <w:r w:rsidRPr="006B1E21">
        <w:t xml:space="preserve">; </w:t>
      </w:r>
    </w:p>
    <w:p w14:paraId="2A00C8E3" w14:textId="5AF2A035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•</w:t>
      </w:r>
      <w:r w:rsidR="00367489" w:rsidRPr="006B1E21">
        <w:t xml:space="preserve"> </w:t>
      </w:r>
      <w:r w:rsidRPr="006B1E21">
        <w:t xml:space="preserve">l’assenza </w:t>
      </w:r>
      <w:r w:rsidR="00157CFF">
        <w:t>dello</w:t>
      </w:r>
      <w:r w:rsidRPr="006B1E21">
        <w:t xml:space="preserve"> scop</w:t>
      </w:r>
      <w:r w:rsidR="00157CFF">
        <w:t>o</w:t>
      </w:r>
      <w:r w:rsidRPr="006B1E21">
        <w:t xml:space="preserve"> di lucro in capo alla società in house, che non opera </w:t>
      </w:r>
      <w:r w:rsidR="00157CFF">
        <w:t xml:space="preserve">per </w:t>
      </w:r>
      <w:r w:rsidRPr="006B1E21">
        <w:t xml:space="preserve">distribuire profitti tra i soci, ma con l’obiettivo di prestare un servizio per l’ente di riferimento al miglior rapporto qualità-prezzo; </w:t>
      </w:r>
    </w:p>
    <w:p w14:paraId="7B27646F" w14:textId="7010E42E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•</w:t>
      </w:r>
      <w:r w:rsidR="00367489" w:rsidRPr="006B1E21">
        <w:t xml:space="preserve"> </w:t>
      </w:r>
      <w:r w:rsidRPr="006B1E21">
        <w:t xml:space="preserve">maggiori e più rapidi margini di intervento disponibili per l’ente affidante nei confronti di un gestore in house, rispetto ad un operatore privato </w:t>
      </w:r>
      <w:r w:rsidR="008D7568">
        <w:t>qualora dovessero emergere</w:t>
      </w:r>
      <w:r w:rsidRPr="006B1E21">
        <w:t xml:space="preserve"> criticità nella gestione del servizio; </w:t>
      </w:r>
    </w:p>
    <w:p w14:paraId="3144EA77" w14:textId="6B0CF794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•</w:t>
      </w:r>
      <w:r w:rsidR="00367489" w:rsidRPr="006B1E21">
        <w:t xml:space="preserve"> </w:t>
      </w:r>
      <w:r w:rsidRPr="006B1E21">
        <w:t xml:space="preserve">la possibilità per </w:t>
      </w:r>
      <w:r w:rsidR="008D7568">
        <w:t>l’ente pubblico</w:t>
      </w:r>
      <w:r w:rsidRPr="006B1E21">
        <w:t xml:space="preserve"> di attuare, attraverso le forme di esercizio del controllo analogo, un </w:t>
      </w:r>
      <w:r w:rsidR="008D7568">
        <w:t>forte</w:t>
      </w:r>
      <w:r w:rsidRPr="006B1E21">
        <w:t xml:space="preserve"> monitoraggio sulla gestione complessiva della società in house, che rende più efficace anche l’attività di controllo del servizio, riducendo l’asimmetria informativa dovuta alla </w:t>
      </w:r>
      <w:r w:rsidR="008370E8">
        <w:t>distanza</w:t>
      </w:r>
      <w:r w:rsidRPr="006B1E21">
        <w:t xml:space="preserve"> dell’ente pubblico affidante </w:t>
      </w:r>
      <w:r w:rsidR="008370E8">
        <w:t xml:space="preserve">rispetto </w:t>
      </w:r>
      <w:r w:rsidRPr="006B1E21">
        <w:t xml:space="preserve">all’attività operativa esercitata </w:t>
      </w:r>
      <w:r w:rsidR="008370E8">
        <w:t>da un’</w:t>
      </w:r>
      <w:r w:rsidRPr="006B1E21">
        <w:t>impresa privata che svolge</w:t>
      </w:r>
      <w:r w:rsidR="008370E8">
        <w:t xml:space="preserve"> il servizio</w:t>
      </w:r>
      <w:r w:rsidRPr="006B1E21">
        <w:t xml:space="preserve">; </w:t>
      </w:r>
    </w:p>
    <w:p w14:paraId="3BE39FB0" w14:textId="793D53A5" w:rsidR="00345766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•</w:t>
      </w:r>
      <w:r w:rsidR="00367489" w:rsidRPr="006B1E21">
        <w:t xml:space="preserve"> </w:t>
      </w:r>
      <w:r w:rsidRPr="006B1E21">
        <w:t xml:space="preserve">la </w:t>
      </w:r>
      <w:r w:rsidR="008370E8">
        <w:t>naturale</w:t>
      </w:r>
      <w:r w:rsidRPr="006B1E21">
        <w:t xml:space="preserve"> tendenza dell</w:t>
      </w:r>
      <w:r w:rsidR="008370E8">
        <w:t>e</w:t>
      </w:r>
      <w:r w:rsidRPr="006B1E21">
        <w:t xml:space="preserve"> società in house</w:t>
      </w:r>
      <w:r w:rsidR="00116489">
        <w:t xml:space="preserve"> </w:t>
      </w:r>
      <w:r w:rsidRPr="006B1E21">
        <w:t xml:space="preserve">a pervenire a composizioni bonarie delle possibili controversie </w:t>
      </w:r>
      <w:r w:rsidR="00116489">
        <w:t xml:space="preserve">con l’ente pubblico </w:t>
      </w:r>
      <w:r w:rsidRPr="006B1E21">
        <w:t>nell’esecuzione del contratto di servizio,</w:t>
      </w:r>
      <w:r w:rsidR="00116489">
        <w:t xml:space="preserve"> dato che è</w:t>
      </w:r>
      <w:r w:rsidR="00116489" w:rsidRPr="006B1E21">
        <w:t xml:space="preserve"> assoggettata al controllo analogo da parte degli enti affidanti,</w:t>
      </w:r>
      <w:r w:rsidRPr="006B1E21">
        <w:t xml:space="preserve"> prevenendo </w:t>
      </w:r>
      <w:r w:rsidR="00116489">
        <w:t xml:space="preserve">così </w:t>
      </w:r>
      <w:r w:rsidRPr="006B1E21">
        <w:t xml:space="preserve">i costi </w:t>
      </w:r>
      <w:r w:rsidR="00116489">
        <w:t>dei</w:t>
      </w:r>
      <w:r w:rsidRPr="006B1E21">
        <w:t xml:space="preserve"> contenziosi che </w:t>
      </w:r>
      <w:r w:rsidR="00116489">
        <w:t xml:space="preserve">sorgono </w:t>
      </w:r>
      <w:r w:rsidRPr="006B1E21">
        <w:t xml:space="preserve">più frequentemente </w:t>
      </w:r>
      <w:r w:rsidR="00116489">
        <w:t xml:space="preserve">con </w:t>
      </w:r>
      <w:r w:rsidR="00143F13">
        <w:t>gli appaltatori privati</w:t>
      </w:r>
      <w:r w:rsidRPr="006B1E21">
        <w:t xml:space="preserve">; </w:t>
      </w:r>
    </w:p>
    <w:p w14:paraId="71325B8F" w14:textId="77777777" w:rsidR="00707D8F" w:rsidRPr="006B1E21" w:rsidRDefault="00345766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 w:rsidRPr="006B1E21">
        <w:t>•</w:t>
      </w:r>
      <w:r w:rsidR="00367489" w:rsidRPr="006B1E21">
        <w:t xml:space="preserve"> </w:t>
      </w:r>
      <w:r w:rsidRPr="006B1E21">
        <w:t>il contenimento dei costi e dei tempi necessari per l’affidamento del servizio rispetto alle procedure di gara per la selezione dell’impresa affidataria o del servizio di partner privato ad una società mista.</w:t>
      </w:r>
    </w:p>
    <w:p w14:paraId="28F8A368" w14:textId="76F956B1" w:rsidR="00C555CA" w:rsidRDefault="00143F1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  <w:r>
        <w:t>Infine, l</w:t>
      </w:r>
      <w:r w:rsidR="00345766" w:rsidRPr="006B1E21">
        <w:t xml:space="preserve">’affidamento in house alla società Cogeser Servizi della gestione del servizio di illuminazione pubblica consente di migliorare l’efficienza e garantire maggiori standard di qualità. </w:t>
      </w:r>
    </w:p>
    <w:p w14:paraId="76DE4E07" w14:textId="77777777" w:rsidR="00143F13" w:rsidRPr="006B1E21" w:rsidRDefault="00143F13" w:rsidP="00F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64" w:lineRule="auto"/>
        <w:jc w:val="both"/>
      </w:pPr>
    </w:p>
    <w:p w14:paraId="27DA2828" w14:textId="77777777" w:rsidR="00BC5C25" w:rsidRPr="006B1E21" w:rsidRDefault="00BC5C25" w:rsidP="00F559EB">
      <w:pPr>
        <w:spacing w:after="120" w:line="264" w:lineRule="auto"/>
        <w:jc w:val="both"/>
        <w:rPr>
          <w:b/>
          <w:u w:val="single"/>
        </w:rPr>
      </w:pPr>
    </w:p>
    <w:p w14:paraId="6E8D116A" w14:textId="77777777" w:rsidR="00BC5C25" w:rsidRPr="006B1E21" w:rsidRDefault="00BC5C25" w:rsidP="00F559EB">
      <w:pPr>
        <w:spacing w:after="120" w:line="264" w:lineRule="auto"/>
        <w:jc w:val="both"/>
        <w:rPr>
          <w:b/>
          <w:u w:val="single"/>
        </w:rPr>
      </w:pPr>
    </w:p>
    <w:p w14:paraId="5DA46055" w14:textId="77777777" w:rsidR="00BC5C25" w:rsidRPr="006B1E21" w:rsidRDefault="00BC5C25">
      <w:pPr>
        <w:rPr>
          <w:b/>
          <w:u w:val="single"/>
        </w:rPr>
      </w:pPr>
      <w:r w:rsidRPr="006B1E21">
        <w:rPr>
          <w:b/>
          <w:u w:val="single"/>
        </w:rPr>
        <w:br w:type="page"/>
      </w:r>
    </w:p>
    <w:p w14:paraId="72BFF584" w14:textId="34E20346" w:rsidR="00C555CA" w:rsidRPr="006B1E21" w:rsidRDefault="00C555CA" w:rsidP="00242A37">
      <w:pPr>
        <w:spacing w:after="120" w:line="264" w:lineRule="auto"/>
        <w:jc w:val="both"/>
        <w:rPr>
          <w:b/>
          <w:u w:val="single"/>
        </w:rPr>
      </w:pPr>
      <w:r w:rsidRPr="006B1E21">
        <w:rPr>
          <w:b/>
          <w:u w:val="single"/>
        </w:rPr>
        <w:lastRenderedPageBreak/>
        <w:t>SEZIONE D</w:t>
      </w:r>
    </w:p>
    <w:p w14:paraId="493AACFB" w14:textId="77777777" w:rsidR="00C555CA" w:rsidRPr="006B1E21" w:rsidRDefault="001350AE" w:rsidP="00242A37">
      <w:pPr>
        <w:spacing w:after="120" w:line="264" w:lineRule="auto"/>
        <w:jc w:val="both"/>
        <w:rPr>
          <w:b/>
        </w:rPr>
      </w:pPr>
      <w:r w:rsidRPr="006B1E21">
        <w:rPr>
          <w:b/>
        </w:rPr>
        <w:t>MOTIVAZIONE ECONOMICO – FINANZIARIA DELLA SCELTA</w:t>
      </w:r>
    </w:p>
    <w:p w14:paraId="4D4D1A55" w14:textId="0A3B30E4" w:rsidR="00F17E43" w:rsidRPr="00F24705" w:rsidRDefault="00D253DD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b/>
          <w:bCs/>
        </w:rPr>
      </w:pPr>
      <w:r>
        <w:rPr>
          <w:b/>
          <w:bCs/>
        </w:rPr>
        <w:t>1</w:t>
      </w:r>
      <w:r w:rsidRPr="00F24705">
        <w:rPr>
          <w:b/>
          <w:bCs/>
        </w:rPr>
        <w:t xml:space="preserve">. </w:t>
      </w:r>
      <w:r w:rsidR="00A773E8" w:rsidRPr="00F24705">
        <w:rPr>
          <w:b/>
          <w:bCs/>
        </w:rPr>
        <w:t xml:space="preserve">Ragioni della </w:t>
      </w:r>
      <w:r w:rsidR="00A23B24" w:rsidRPr="00F24705">
        <w:rPr>
          <w:b/>
          <w:bCs/>
        </w:rPr>
        <w:t>modalità di gestione prescelta e costi per l’ente locale</w:t>
      </w:r>
    </w:p>
    <w:p w14:paraId="68E71060" w14:textId="77777777" w:rsidR="00D20031" w:rsidRPr="00F24705" w:rsidRDefault="00AC3D5F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Questa sezione contiene la motivazione </w:t>
      </w:r>
      <w:r w:rsidR="00A03B12" w:rsidRPr="00F24705">
        <w:t xml:space="preserve">tecnico - </w:t>
      </w:r>
      <w:r w:rsidRPr="00F24705">
        <w:t>economic</w:t>
      </w:r>
      <w:r w:rsidR="00DF06FC" w:rsidRPr="00F24705">
        <w:t>a</w:t>
      </w:r>
      <w:r w:rsidRPr="00F24705">
        <w:t xml:space="preserve"> della modalità di affidamento prescelta, vale a dire </w:t>
      </w:r>
      <w:r w:rsidR="00A03B12" w:rsidRPr="00F24705">
        <w:t xml:space="preserve">della </w:t>
      </w:r>
      <w:r w:rsidR="00D20031" w:rsidRPr="00F24705">
        <w:t>decisione</w:t>
      </w:r>
      <w:r w:rsidR="00A03B12" w:rsidRPr="00F24705">
        <w:t xml:space="preserve"> di </w:t>
      </w:r>
      <w:r w:rsidR="00D20031" w:rsidRPr="00F24705">
        <w:t>affidare il servizio direttamente</w:t>
      </w:r>
      <w:r w:rsidRPr="00F24705">
        <w:t xml:space="preserve"> </w:t>
      </w:r>
      <w:r w:rsidR="00D20031" w:rsidRPr="00F24705">
        <w:t>alla propria</w:t>
      </w:r>
      <w:r w:rsidRPr="00F24705">
        <w:t xml:space="preserve"> società controllata in house.</w:t>
      </w:r>
      <w:r w:rsidR="00A03B12" w:rsidRPr="00F24705">
        <w:t xml:space="preserve"> </w:t>
      </w:r>
    </w:p>
    <w:p w14:paraId="6C9AEF61" w14:textId="6A3109B9" w:rsidR="00454606" w:rsidRPr="00F24705" w:rsidRDefault="00A23B24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rPr>
          <w:b/>
          <w:bCs/>
        </w:rPr>
        <w:t>1.</w:t>
      </w:r>
      <w:r w:rsidR="00DB552D" w:rsidRPr="00F24705">
        <w:rPr>
          <w:b/>
          <w:bCs/>
        </w:rPr>
        <w:t xml:space="preserve">1. </w:t>
      </w:r>
      <w:r w:rsidR="00304877" w:rsidRPr="00F24705">
        <w:t>Innanzitutto, giova evidenziare che s</w:t>
      </w:r>
      <w:r w:rsidR="00454606" w:rsidRPr="00F24705">
        <w:t xml:space="preserve">e il Comune mantenesse l’attuale sistema di gestione dell’illuminazione pubblica, </w:t>
      </w:r>
      <w:r w:rsidR="00DA75EC" w:rsidRPr="00F24705">
        <w:t>qualora</w:t>
      </w:r>
      <w:r w:rsidR="00454606" w:rsidRPr="00F24705">
        <w:t xml:space="preserve"> il valore dell’energia elettrica </w:t>
      </w:r>
      <w:r w:rsidR="00DA75EC" w:rsidRPr="00F24705">
        <w:t xml:space="preserve">rimanesse invariato </w:t>
      </w:r>
      <w:r w:rsidR="00454606" w:rsidRPr="00F24705">
        <w:t xml:space="preserve">rispetto al </w:t>
      </w:r>
      <w:r w:rsidR="002E5F2F" w:rsidRPr="00F24705">
        <w:t>trimestre ottobre-dicembre 2022</w:t>
      </w:r>
      <w:r w:rsidR="00454606" w:rsidRPr="00F24705">
        <w:t>, la spesa nei prossimi 1</w:t>
      </w:r>
      <w:r w:rsidR="00B91AF6" w:rsidRPr="00F24705">
        <w:t>5</w:t>
      </w:r>
      <w:r w:rsidR="00454606" w:rsidRPr="00F24705">
        <w:t xml:space="preserve"> </w:t>
      </w:r>
      <w:r w:rsidR="001718C4" w:rsidRPr="00F24705">
        <w:t>(</w:t>
      </w:r>
      <w:r w:rsidR="00B91AF6" w:rsidRPr="00F24705">
        <w:t>quindi</w:t>
      </w:r>
      <w:r w:rsidR="001718C4" w:rsidRPr="00F24705">
        <w:t xml:space="preserve">ci) </w:t>
      </w:r>
      <w:r w:rsidR="00454606" w:rsidRPr="00F24705">
        <w:t xml:space="preserve">anni sarebbe pari a </w:t>
      </w:r>
      <w:r w:rsidR="00AE036C" w:rsidRPr="00F24705">
        <w:t>€ 2.077.920</w:t>
      </w:r>
      <w:r w:rsidR="00AE036C" w:rsidRPr="00F24705">
        <w:rPr>
          <w:i/>
          <w:iCs/>
        </w:rPr>
        <w:t xml:space="preserve"> </w:t>
      </w:r>
      <w:r w:rsidR="00454606" w:rsidRPr="00F24705">
        <w:t>(</w:t>
      </w:r>
      <w:r w:rsidR="00DA75EC" w:rsidRPr="00F24705">
        <w:t xml:space="preserve">IVA </w:t>
      </w:r>
      <w:r w:rsidR="00454606" w:rsidRPr="00F24705">
        <w:t>esclusa) così suddivisi:</w:t>
      </w:r>
    </w:p>
    <w:p w14:paraId="582E20F0" w14:textId="2A492446" w:rsidR="00454606" w:rsidRPr="00F24705" w:rsidRDefault="00C4484A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• </w:t>
      </w:r>
      <w:r w:rsidR="00AE036C" w:rsidRPr="00F24705">
        <w:t>€ 1.810.980</w:t>
      </w:r>
      <w:r w:rsidR="00FF7DD0" w:rsidRPr="00F24705">
        <w:rPr>
          <w:i/>
          <w:iCs/>
        </w:rPr>
        <w:t xml:space="preserve"> </w:t>
      </w:r>
      <w:r w:rsidR="00DA75EC" w:rsidRPr="00F24705">
        <w:t>p</w:t>
      </w:r>
      <w:r w:rsidR="00454606" w:rsidRPr="00F24705">
        <w:t>er l’approvvigionamento di energia elettrica;</w:t>
      </w:r>
    </w:p>
    <w:p w14:paraId="6536A3DE" w14:textId="12B49D17" w:rsidR="00454606" w:rsidRPr="00F24705" w:rsidRDefault="00C4484A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• </w:t>
      </w:r>
      <w:r w:rsidR="00AE036C" w:rsidRPr="00F24705">
        <w:t>€ 266.940</w:t>
      </w:r>
      <w:r w:rsidR="00AE036C" w:rsidRPr="00F24705">
        <w:rPr>
          <w:i/>
          <w:iCs/>
        </w:rPr>
        <w:t xml:space="preserve"> </w:t>
      </w:r>
      <w:r w:rsidR="00454606" w:rsidRPr="00F24705">
        <w:t>per la manutenzione ordinaria degli impianti.</w:t>
      </w:r>
    </w:p>
    <w:p w14:paraId="095163DE" w14:textId="2C8CB728" w:rsidR="00454606" w:rsidRPr="00F24705" w:rsidRDefault="00454606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L’affidamento del servizio in</w:t>
      </w:r>
      <w:r w:rsidR="00DA75EC" w:rsidRPr="00F24705">
        <w:t>-</w:t>
      </w:r>
      <w:r w:rsidRPr="00F24705">
        <w:t xml:space="preserve">house </w:t>
      </w:r>
      <w:r w:rsidR="001718C4" w:rsidRPr="00F24705">
        <w:t>ridurrà</w:t>
      </w:r>
      <w:r w:rsidRPr="00F24705">
        <w:t xml:space="preserve"> la spesa </w:t>
      </w:r>
      <w:r w:rsidR="001718C4" w:rsidRPr="00F24705">
        <w:t>complessiva</w:t>
      </w:r>
      <w:r w:rsidRPr="00F24705">
        <w:t xml:space="preserve"> a</w:t>
      </w:r>
      <w:r w:rsidR="001718C4" w:rsidRPr="00F24705">
        <w:t>ll’importo di</w:t>
      </w:r>
      <w:r w:rsidRPr="00F24705">
        <w:t xml:space="preserve"> </w:t>
      </w:r>
      <w:r w:rsidR="00AE036C" w:rsidRPr="00F24705">
        <w:t>€ 2.030.866</w:t>
      </w:r>
      <w:r w:rsidR="00AE036C" w:rsidRPr="00F24705">
        <w:rPr>
          <w:i/>
          <w:iCs/>
        </w:rPr>
        <w:t xml:space="preserve"> </w:t>
      </w:r>
      <w:r w:rsidRPr="00F24705">
        <w:t>(</w:t>
      </w:r>
      <w:r w:rsidR="00DA75EC" w:rsidRPr="00F24705">
        <w:t xml:space="preserve">IVA </w:t>
      </w:r>
      <w:r w:rsidRPr="00F24705">
        <w:t xml:space="preserve">esclusa) così </w:t>
      </w:r>
      <w:r w:rsidR="001718C4" w:rsidRPr="00F24705">
        <w:t>ripartito</w:t>
      </w:r>
      <w:r w:rsidRPr="00F24705">
        <w:t>:</w:t>
      </w:r>
    </w:p>
    <w:p w14:paraId="42EB7770" w14:textId="20FDE475" w:rsidR="00454606" w:rsidRPr="00F24705" w:rsidRDefault="00C4484A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• </w:t>
      </w:r>
      <w:r w:rsidR="00AE036C" w:rsidRPr="00F24705">
        <w:t>€ 1.523.736</w:t>
      </w:r>
      <w:r w:rsidR="00DC12C3" w:rsidRPr="00F24705">
        <w:t xml:space="preserve"> </w:t>
      </w:r>
      <w:r w:rsidR="00DA75EC" w:rsidRPr="00F24705">
        <w:t>p</w:t>
      </w:r>
      <w:r w:rsidR="00454606" w:rsidRPr="00F24705">
        <w:t xml:space="preserve">er il </w:t>
      </w:r>
      <w:r w:rsidR="00DA75EC" w:rsidRPr="00F24705">
        <w:t>costo dell’</w:t>
      </w:r>
      <w:r w:rsidR="00454606" w:rsidRPr="00F24705">
        <w:t xml:space="preserve">energia elettrica e </w:t>
      </w:r>
      <w:r w:rsidR="00DA75EC" w:rsidRPr="00F24705">
        <w:t xml:space="preserve">la </w:t>
      </w:r>
      <w:r w:rsidR="00454606" w:rsidRPr="00F24705">
        <w:t>manutenzione</w:t>
      </w:r>
      <w:r w:rsidR="00DA75EC" w:rsidRPr="00F24705">
        <w:t xml:space="preserve"> degli impianti</w:t>
      </w:r>
      <w:r w:rsidR="00454606" w:rsidRPr="00F24705">
        <w:t>;</w:t>
      </w:r>
    </w:p>
    <w:p w14:paraId="06597D21" w14:textId="08B0074F" w:rsidR="00454606" w:rsidRPr="00F24705" w:rsidRDefault="00C4484A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• </w:t>
      </w:r>
      <w:r w:rsidR="00AE036C" w:rsidRPr="00F24705">
        <w:t>€ 507.130</w:t>
      </w:r>
      <w:r w:rsidR="00AE036C" w:rsidRPr="00F24705">
        <w:rPr>
          <w:i/>
          <w:iCs/>
        </w:rPr>
        <w:t xml:space="preserve"> </w:t>
      </w:r>
      <w:r w:rsidR="00DA75EC" w:rsidRPr="00F24705">
        <w:t>p</w:t>
      </w:r>
      <w:r w:rsidR="00454606" w:rsidRPr="00F24705">
        <w:t>er l’ammortamento degli interventi di riqualificazione previsti.</w:t>
      </w:r>
    </w:p>
    <w:p w14:paraId="1B7B92DE" w14:textId="61EE92E4" w:rsidR="00187AA7" w:rsidRPr="00F24705" w:rsidRDefault="001718C4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Il</w:t>
      </w:r>
      <w:r w:rsidR="00187AA7" w:rsidRPr="00F24705">
        <w:t xml:space="preserve"> risparmio </w:t>
      </w:r>
      <w:r w:rsidR="00C4484A" w:rsidRPr="00F24705">
        <w:t>viene ottenuto</w:t>
      </w:r>
      <w:r w:rsidRPr="00F24705">
        <w:t xml:space="preserve"> </w:t>
      </w:r>
      <w:r w:rsidR="00F93991" w:rsidRPr="00F24705">
        <w:t xml:space="preserve">con il </w:t>
      </w:r>
      <w:r w:rsidR="00187AA7" w:rsidRPr="00F24705">
        <w:t xml:space="preserve">minor consumo di energia previsto grazie agli interventi </w:t>
      </w:r>
      <w:r w:rsidRPr="00F24705">
        <w:t xml:space="preserve">di riqualificazione degli impianti </w:t>
      </w:r>
      <w:r w:rsidR="00187AA7" w:rsidRPr="00F24705">
        <w:t xml:space="preserve">proposti </w:t>
      </w:r>
      <w:r w:rsidRPr="00F24705">
        <w:t xml:space="preserve">dalla società </w:t>
      </w:r>
      <w:r w:rsidR="00187AA7" w:rsidRPr="00F24705">
        <w:t xml:space="preserve">e </w:t>
      </w:r>
      <w:r w:rsidRPr="00F24705">
        <w:t xml:space="preserve">alla </w:t>
      </w:r>
      <w:r w:rsidR="00187AA7" w:rsidRPr="00F24705">
        <w:t>riduzione dei costi di manutenzione.</w:t>
      </w:r>
    </w:p>
    <w:p w14:paraId="27277A1F" w14:textId="53C0F958" w:rsidR="0074038D" w:rsidRPr="00F24705" w:rsidRDefault="0074038D" w:rsidP="00DA75E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Il canone </w:t>
      </w:r>
      <w:r w:rsidR="00F93991" w:rsidRPr="00F24705">
        <w:t xml:space="preserve">per il servizio </w:t>
      </w:r>
      <w:r w:rsidRPr="00F24705">
        <w:t xml:space="preserve">è in linea con gli investimenti previsti e la durata della concessione. </w:t>
      </w:r>
      <w:r w:rsidR="00DF4397" w:rsidRPr="00F24705">
        <w:t xml:space="preserve">In particolare, quest’ultima </w:t>
      </w:r>
      <w:r w:rsidR="00DA75EC" w:rsidRPr="00F24705">
        <w:t xml:space="preserve">è </w:t>
      </w:r>
      <w:r w:rsidR="00DF4397" w:rsidRPr="00F24705">
        <w:t xml:space="preserve">pari a </w:t>
      </w:r>
      <w:r w:rsidR="00F77C52" w:rsidRPr="00F24705">
        <w:t>15 (quindici)</w:t>
      </w:r>
      <w:r w:rsidR="00DA75EC" w:rsidRPr="00F24705">
        <w:t xml:space="preserve"> </w:t>
      </w:r>
      <w:r w:rsidR="00DF4397" w:rsidRPr="00F24705">
        <w:t>anni</w:t>
      </w:r>
      <w:r w:rsidR="00DA75EC" w:rsidRPr="00F24705">
        <w:t>, corrispondenti</w:t>
      </w:r>
      <w:r w:rsidR="00DF4397" w:rsidRPr="00F24705">
        <w:t xml:space="preserve"> al tempo necessario </w:t>
      </w:r>
      <w:r w:rsidR="00DA75EC" w:rsidRPr="00F24705">
        <w:t xml:space="preserve">per </w:t>
      </w:r>
      <w:r w:rsidR="00DF4397" w:rsidRPr="00F24705">
        <w:t>ammortizzare gli investimenti.</w:t>
      </w:r>
    </w:p>
    <w:p w14:paraId="58AEA13F" w14:textId="3E6CD3CA" w:rsidR="00F24705" w:rsidRPr="00F24705" w:rsidRDefault="00F24705" w:rsidP="003048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bookmarkStart w:id="1" w:name="_Hlk126155397"/>
    </w:p>
    <w:p w14:paraId="6C919030" w14:textId="71A3148A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Dal punto di vista tecnico la proposta è migliorativa rispetto alla Convenzione Consip che può essere stipulata attualmente. </w:t>
      </w:r>
    </w:p>
    <w:p w14:paraId="27557AAC" w14:textId="1857F03D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Dal punto di vista economico non è possibile effettuare un confronto con la Convenzione Consip, in quanto l’oggetto della convenzione Consip non prevede tutte le opere previste nella Offerta di gestione del servizio di illuminazione presentata da </w:t>
      </w:r>
      <w:proofErr w:type="spellStart"/>
      <w:r w:rsidRPr="00F24705">
        <w:t>Cogeser</w:t>
      </w:r>
      <w:proofErr w:type="spellEnd"/>
      <w:r w:rsidRPr="00F24705">
        <w:t xml:space="preserve"> Servizi (Allegato 12, proposta di gestione del servizio da parte di </w:t>
      </w:r>
      <w:proofErr w:type="spellStart"/>
      <w:r w:rsidRPr="00F24705">
        <w:t>Cogeser</w:t>
      </w:r>
      <w:proofErr w:type="spellEnd"/>
      <w:r w:rsidRPr="00F24705">
        <w:t xml:space="preserve"> Servizi).</w:t>
      </w:r>
    </w:p>
    <w:p w14:paraId="154FEE6E" w14:textId="4D449B54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La proposta di </w:t>
      </w:r>
      <w:proofErr w:type="spellStart"/>
      <w:r w:rsidRPr="00F24705">
        <w:t>Cogeser</w:t>
      </w:r>
      <w:proofErr w:type="spellEnd"/>
      <w:r w:rsidRPr="00F24705">
        <w:t xml:space="preserve"> Servizi è più conveniente, sul piano tecnico economico, della convenzione Consip denominata Servizio Luce 4, che è quella che presenta maggiori affinità.</w:t>
      </w:r>
    </w:p>
    <w:p w14:paraId="367AB28D" w14:textId="7BC3962D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•</w:t>
      </w:r>
      <w:r w:rsidRPr="00F24705">
        <w:tab/>
        <w:t xml:space="preserve">Il progetto preliminare di </w:t>
      </w:r>
      <w:proofErr w:type="spellStart"/>
      <w:r w:rsidRPr="00F24705">
        <w:t>Cogeser</w:t>
      </w:r>
      <w:proofErr w:type="spellEnd"/>
      <w:r w:rsidRPr="00F24705">
        <w:t xml:space="preserve"> Servizi prevede in </w:t>
      </w:r>
      <w:proofErr w:type="gramStart"/>
      <w:r w:rsidRPr="00F24705">
        <w:t>articolare  i</w:t>
      </w:r>
      <w:proofErr w:type="gramEnd"/>
      <w:r w:rsidRPr="00F24705">
        <w:t xml:space="preserve"> seguenti interventi e servizi: </w:t>
      </w:r>
    </w:p>
    <w:p w14:paraId="1C2094BB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>Realizzazione di interventi di riqualificazione tecnologica finalizzati in par-</w:t>
      </w:r>
      <w:proofErr w:type="spellStart"/>
      <w:r w:rsidRPr="00F24705">
        <w:t>ticolare</w:t>
      </w:r>
      <w:proofErr w:type="spellEnd"/>
      <w:r w:rsidRPr="00F24705">
        <w:t xml:space="preserve"> al risparmio energetico</w:t>
      </w:r>
    </w:p>
    <w:p w14:paraId="28F684AE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Adeguamento normativo, sia dal punto vista prettamente illuminotecnico che impiantistico, di tutti gli impianti oggetto della concessione secondo le modalità indicate nel presente progetto preliminare </w:t>
      </w:r>
    </w:p>
    <w:p w14:paraId="144CCA46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>Fornitura ed erogazione di energia elettrica</w:t>
      </w:r>
    </w:p>
    <w:p w14:paraId="60F8A8B5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>Esercizio degli impianti</w:t>
      </w:r>
    </w:p>
    <w:p w14:paraId="3E6D1A52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Manutenzione ordinaria e programmata preventiva </w:t>
      </w:r>
    </w:p>
    <w:p w14:paraId="7A978B36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Manutenzione straordinaria </w:t>
      </w:r>
    </w:p>
    <w:p w14:paraId="22C48523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>Eventuale gestione dei carichi esogeni elettrici e meccanici.</w:t>
      </w:r>
    </w:p>
    <w:p w14:paraId="6834668E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lastRenderedPageBreak/>
        <w:t>•</w:t>
      </w:r>
      <w:r w:rsidRPr="00F24705">
        <w:tab/>
        <w:t xml:space="preserve">Invece, la convenzione Consip “Servizio Luce 4” comprende nel canone le seguenti attività: </w:t>
      </w:r>
    </w:p>
    <w:p w14:paraId="3D4F436E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acquisto di energia elettrica; </w:t>
      </w:r>
    </w:p>
    <w:p w14:paraId="24DAB7BE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esercizio degli impianti; </w:t>
      </w:r>
    </w:p>
    <w:p w14:paraId="75C7B343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manutenzione ordinaria degli impianti; </w:t>
      </w:r>
    </w:p>
    <w:p w14:paraId="0934F6DF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 xml:space="preserve">eventuale gestione dei carichi esogeni elettrici e meccanici; </w:t>
      </w:r>
    </w:p>
    <w:p w14:paraId="4FEF8148" w14:textId="77777777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>o</w:t>
      </w:r>
      <w:r w:rsidRPr="00F24705">
        <w:tab/>
        <w:t>efficientamento (fino al raggiungimento di una soglia minima).</w:t>
      </w:r>
    </w:p>
    <w:p w14:paraId="323F90CE" w14:textId="46F45321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Nella Convenzione di Consip la manutenzione straordinaria ed i lavori di adegua-mento sono espressamente indicati come attività extra canone che devono essere pagate dal Comune sostenendo un onere aggiuntivo rispetto a quello ordinario. In-fatti, nel canone richiesto da Consip sono compresi esclusivamente (i) una parte de-gli interventi di manutenzione straordinaria e (ii) i lavori di adeguamento degli impianti fino ad un importo pari al 10% del corrispettivo contrattuale, nel caso in cui la convenzione abbia una durata di 9 anni. </w:t>
      </w:r>
    </w:p>
    <w:p w14:paraId="4BA30D05" w14:textId="623B7800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La convenzione Consip, quindi, limita le attività di manutenzione straordinaria dell’impianto che possono essere richieste fino alla misura massima del 10% dell’importo contrattuale, mentre il progetto presentato da </w:t>
      </w:r>
      <w:proofErr w:type="spellStart"/>
      <w:r w:rsidRPr="00F24705">
        <w:t>Cogeser</w:t>
      </w:r>
      <w:proofErr w:type="spellEnd"/>
      <w:r w:rsidRPr="00F24705">
        <w:t xml:space="preserve"> Servizi comprende sempre le attività di manutenzione straordinaria, senza limiti di valore, fatti salvi i casi straordinari di danni derivanti da atti vandalici e calamità naturali, per cui l’Ente concedente conosce fin dall’inizio il costo complessivo del servizio.</w:t>
      </w:r>
    </w:p>
    <w:p w14:paraId="49375F05" w14:textId="1F8848E4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In conclusione: a) il contenuto del progetto preliminare di riqualificazione dell’impianto di illuminazione non è compreso tra le convenzioni Consip; b) il progetto presentato dalla società comprende tutte le attività di manutenzione straordinaria degli impianti, mentre la convenzione Consip limita questi interventi fino al massimo del 10% dell’importo totale dei canoni, se la convenzione dura 9 anni. </w:t>
      </w:r>
    </w:p>
    <w:p w14:paraId="7005C76B" w14:textId="577805A8" w:rsidR="00F24705" w:rsidRPr="00F24705" w:rsidRDefault="00F24705" w:rsidP="00F247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</w:pPr>
      <w:r w:rsidRPr="00F24705">
        <w:t xml:space="preserve">In ogni caso, anche se non è possibile fare una comparazione diretta con una parti-colare convenzione Consip, la proposta di </w:t>
      </w:r>
      <w:proofErr w:type="spellStart"/>
      <w:r w:rsidRPr="00F24705">
        <w:t>Cogeser</w:t>
      </w:r>
      <w:proofErr w:type="spellEnd"/>
      <w:r w:rsidRPr="00F24705">
        <w:t xml:space="preserve"> Servizi risulta congrua rispetto alle condizioni presenti nel mercato. Negli ultimi quattro anni </w:t>
      </w:r>
      <w:proofErr w:type="spellStart"/>
      <w:r w:rsidRPr="00F24705">
        <w:t>Cogeser</w:t>
      </w:r>
      <w:proofErr w:type="spellEnd"/>
      <w:r w:rsidRPr="00F24705">
        <w:t xml:space="preserve"> Servizi ha ottenuto l’aggiudicazione di quattro gare per l’affidamento in concessione, tramite finanza di progetto ai sensi dell’art. 183 del d.lgs. 50/2016, del progetto di riqualifica-zione, adeguamento normativo e gestione degli impianti di illuminazione pubblica nei Comuni di Gorgonzola, Inzago, Truccazzano e Merlino. Ciò dimostra che la società possiede un adeguato know-how tecnico in materia di riqualificazione dell’impianto di illuminazione pubblica e di successiva gestione del servizio e, di conseguenza, è in grado di offrire ai comuni soci controllanti condizioni economi-che competitive per la gestione del servizio.</w:t>
      </w:r>
    </w:p>
    <w:p w14:paraId="005C6B95" w14:textId="34DF99F3" w:rsidR="00323755" w:rsidRPr="00640B7C" w:rsidRDefault="00640B7C" w:rsidP="003048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color w:val="FF0000"/>
        </w:rPr>
      </w:pPr>
      <w:r w:rsidRPr="00F24705">
        <w:rPr>
          <w:rFonts w:ascii="Calibri" w:hAnsi="Calibri"/>
          <w:b/>
          <w:bCs/>
        </w:rPr>
        <w:t>1.3</w:t>
      </w:r>
      <w:r w:rsidRPr="00F24705">
        <w:rPr>
          <w:rFonts w:ascii="Calibri" w:hAnsi="Calibri"/>
        </w:rPr>
        <w:t xml:space="preserve"> In ultimo, occorre evidenziare </w:t>
      </w:r>
      <w:r>
        <w:rPr>
          <w:rFonts w:ascii="Calibri" w:hAnsi="Calibri"/>
        </w:rPr>
        <w:t xml:space="preserve">che nella </w:t>
      </w:r>
      <w:r w:rsidR="006B7E32" w:rsidRPr="00DA75EC">
        <w:rPr>
          <w:rFonts w:ascii="Calibri" w:hAnsi="Calibri"/>
        </w:rPr>
        <w:t>valutazione dell’economicità dell’affidamento “in house”</w:t>
      </w:r>
      <w:r w:rsidR="00BB3755" w:rsidRPr="00DA75EC">
        <w:rPr>
          <w:rFonts w:ascii="Calibri" w:hAnsi="Calibri"/>
        </w:rPr>
        <w:t xml:space="preserve"> ha una indubbia valenza positiva</w:t>
      </w:r>
      <w:r w:rsidR="006B7E32" w:rsidRPr="00DA75EC">
        <w:rPr>
          <w:rFonts w:ascii="Calibri" w:hAnsi="Calibri"/>
        </w:rPr>
        <w:t xml:space="preserve"> la pluriennale esperienza </w:t>
      </w:r>
      <w:r w:rsidR="006B7E32" w:rsidRPr="00DA75EC">
        <w:rPr>
          <w:rFonts w:cstheme="minorHAnsi"/>
        </w:rPr>
        <w:t xml:space="preserve">acquisita dalla società Cogeser Servizi nella riqualificazione e gestione di impianti elettrici. </w:t>
      </w:r>
      <w:bookmarkStart w:id="2" w:name="_Hlk126155464"/>
      <w:r w:rsidR="006B7E32" w:rsidRPr="00DA75EC">
        <w:rPr>
          <w:rFonts w:cstheme="minorHAnsi"/>
        </w:rPr>
        <w:t xml:space="preserve">La società, negli ultimi quattro anni, è risultata aggiudicataria di quattro procedure aperte per l’affidamento in concessione tramite finanza di progetto di cui all’art. 183 D. Lgs. 50/2016 della </w:t>
      </w:r>
      <w:r w:rsidR="00BB3755" w:rsidRPr="00DA75EC">
        <w:rPr>
          <w:rFonts w:cstheme="minorHAnsi"/>
        </w:rPr>
        <w:t xml:space="preserve">riqualificazione, </w:t>
      </w:r>
      <w:r w:rsidR="006B7E32" w:rsidRPr="00DA75EC">
        <w:rPr>
          <w:rFonts w:cstheme="minorHAnsi"/>
        </w:rPr>
        <w:t xml:space="preserve">adeguamento normativo </w:t>
      </w:r>
      <w:r w:rsidR="00BB3755" w:rsidRPr="00DA75EC">
        <w:rPr>
          <w:rFonts w:cstheme="minorHAnsi"/>
        </w:rPr>
        <w:t xml:space="preserve">e gestione </w:t>
      </w:r>
      <w:r w:rsidR="006B7E32" w:rsidRPr="00DA75EC">
        <w:rPr>
          <w:rFonts w:cstheme="minorHAnsi"/>
        </w:rPr>
        <w:t xml:space="preserve">degli impianti di illuminazione pubblica dei Comuni di Gorgonzola, Inzago, Truccazzano e Merlino. </w:t>
      </w:r>
    </w:p>
    <w:p w14:paraId="4C7C3144" w14:textId="412E11F2" w:rsidR="00323755" w:rsidRPr="005238C3" w:rsidRDefault="00340BE8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ascii="Calibri" w:hAnsi="Calibri"/>
        </w:rPr>
      </w:pPr>
      <w:bookmarkStart w:id="3" w:name="_Hlk126155735"/>
      <w:r>
        <w:rPr>
          <w:rFonts w:cstheme="minorHAnsi"/>
        </w:rPr>
        <w:t>Queste</w:t>
      </w:r>
      <w:r w:rsidR="006B7E32" w:rsidRPr="00DA75EC">
        <w:rPr>
          <w:rFonts w:cstheme="minorHAnsi"/>
        </w:rPr>
        <w:t xml:space="preserve"> esperienze </w:t>
      </w:r>
      <w:r w:rsidR="004F6E41">
        <w:rPr>
          <w:rFonts w:cstheme="minorHAnsi"/>
        </w:rPr>
        <w:t xml:space="preserve">dimostrano che la società propone offerte competitive sul piano </w:t>
      </w:r>
      <w:r w:rsidR="006B7E32" w:rsidRPr="00DA75EC">
        <w:rPr>
          <w:rFonts w:ascii="Calibri" w:hAnsi="Calibri"/>
        </w:rPr>
        <w:t>tecnico-economic</w:t>
      </w:r>
      <w:r w:rsidR="004F6E41">
        <w:rPr>
          <w:rFonts w:ascii="Calibri" w:hAnsi="Calibri"/>
        </w:rPr>
        <w:t>o</w:t>
      </w:r>
      <w:r w:rsidR="00DF4397" w:rsidRPr="00DA75EC">
        <w:rPr>
          <w:rFonts w:ascii="Calibri" w:hAnsi="Calibri"/>
        </w:rPr>
        <w:t xml:space="preserve"> nella gestione </w:t>
      </w:r>
      <w:r w:rsidR="005238C3" w:rsidRPr="005238C3">
        <w:rPr>
          <w:rFonts w:ascii="Calibri" w:hAnsi="Calibri"/>
        </w:rPr>
        <w:t xml:space="preserve">del servizio </w:t>
      </w:r>
      <w:r w:rsidR="004F6E41">
        <w:rPr>
          <w:rFonts w:ascii="Calibri" w:hAnsi="Calibri"/>
        </w:rPr>
        <w:t>ed è dotata di una</w:t>
      </w:r>
      <w:r w:rsidR="006B7E32" w:rsidRPr="005238C3">
        <w:rPr>
          <w:rFonts w:ascii="Calibri" w:hAnsi="Calibri"/>
        </w:rPr>
        <w:t xml:space="preserve"> struttura</w:t>
      </w:r>
      <w:bookmarkEnd w:id="2"/>
      <w:bookmarkEnd w:id="3"/>
      <w:r w:rsidR="005238C3" w:rsidRPr="005238C3">
        <w:rPr>
          <w:rFonts w:ascii="Calibri" w:hAnsi="Calibri"/>
        </w:rPr>
        <w:t xml:space="preserve"> organizzativa</w:t>
      </w:r>
      <w:r w:rsidR="004F6E41">
        <w:rPr>
          <w:rFonts w:ascii="Calibri" w:hAnsi="Calibri"/>
        </w:rPr>
        <w:t xml:space="preserve"> efficiente</w:t>
      </w:r>
      <w:r w:rsidR="006B7E32" w:rsidRPr="005238C3">
        <w:rPr>
          <w:rFonts w:ascii="Calibri" w:hAnsi="Calibri"/>
        </w:rPr>
        <w:t xml:space="preserve">. </w:t>
      </w:r>
    </w:p>
    <w:p w14:paraId="768FFBB8" w14:textId="2ED73BC8" w:rsidR="0055013F" w:rsidRPr="005238C3" w:rsidRDefault="00E11A8E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ascii="Calibri" w:hAnsi="Calibri"/>
        </w:rPr>
      </w:pPr>
      <w:r>
        <w:rPr>
          <w:rFonts w:ascii="Calibri" w:hAnsi="Calibri"/>
        </w:rPr>
        <w:t>In aggiunta, la società acqui</w:t>
      </w:r>
      <w:r w:rsidR="00861F49">
        <w:rPr>
          <w:rFonts w:ascii="Calibri" w:hAnsi="Calibri"/>
        </w:rPr>
        <w:t>sta</w:t>
      </w:r>
      <w:r w:rsidR="006B7E32" w:rsidRPr="005238C3">
        <w:rPr>
          <w:rFonts w:ascii="Calibri" w:hAnsi="Calibri"/>
        </w:rPr>
        <w:t xml:space="preserve"> sul mercato, nel rispetto </w:t>
      </w:r>
      <w:r>
        <w:rPr>
          <w:rFonts w:ascii="Calibri" w:hAnsi="Calibri"/>
        </w:rPr>
        <w:t>delle norme sui contratti pubblici</w:t>
      </w:r>
      <w:r w:rsidR="006B7E32" w:rsidRPr="005238C3">
        <w:rPr>
          <w:rFonts w:ascii="Calibri" w:hAnsi="Calibri"/>
        </w:rPr>
        <w:t>, alcune opere e servizi di cui non dispone al proprio interno e</w:t>
      </w:r>
      <w:r w:rsidR="0055013F" w:rsidRPr="005238C3">
        <w:rPr>
          <w:rFonts w:ascii="Calibri" w:hAnsi="Calibri"/>
        </w:rPr>
        <w:t>,</w:t>
      </w:r>
      <w:r w:rsidR="006B7E32" w:rsidRPr="005238C3">
        <w:rPr>
          <w:rFonts w:ascii="Calibri" w:hAnsi="Calibri"/>
        </w:rPr>
        <w:t xml:space="preserve"> in ragione del volume complessivo delle attività </w:t>
      </w:r>
      <w:r w:rsidR="008E7804">
        <w:rPr>
          <w:rFonts w:ascii="Calibri" w:hAnsi="Calibri"/>
        </w:rPr>
        <w:t xml:space="preserve">esercitate per conto dei </w:t>
      </w:r>
      <w:r w:rsidR="0055013F" w:rsidRPr="005238C3">
        <w:rPr>
          <w:rFonts w:ascii="Calibri" w:hAnsi="Calibri"/>
        </w:rPr>
        <w:t>Comuni soci,</w:t>
      </w:r>
      <w:r w:rsidR="006B7E32" w:rsidRPr="005238C3">
        <w:rPr>
          <w:rFonts w:ascii="Calibri" w:hAnsi="Calibri"/>
        </w:rPr>
        <w:t xml:space="preserve"> può </w:t>
      </w:r>
      <w:r w:rsidR="008E7804">
        <w:rPr>
          <w:rFonts w:ascii="Calibri" w:hAnsi="Calibri"/>
        </w:rPr>
        <w:t>ottenere condizioni economiche</w:t>
      </w:r>
      <w:r w:rsidR="006B7E32" w:rsidRPr="005238C3">
        <w:rPr>
          <w:rFonts w:ascii="Calibri" w:hAnsi="Calibri"/>
        </w:rPr>
        <w:t xml:space="preserve"> </w:t>
      </w:r>
      <w:r w:rsidR="008E7804">
        <w:rPr>
          <w:rFonts w:ascii="Calibri" w:hAnsi="Calibri"/>
        </w:rPr>
        <w:t xml:space="preserve">più favorevoli </w:t>
      </w:r>
      <w:r w:rsidR="006B7E32" w:rsidRPr="005238C3">
        <w:rPr>
          <w:rFonts w:ascii="Calibri" w:hAnsi="Calibri"/>
        </w:rPr>
        <w:t xml:space="preserve">rispetto </w:t>
      </w:r>
      <w:r w:rsidR="00D0340B">
        <w:rPr>
          <w:rFonts w:ascii="Calibri" w:hAnsi="Calibri"/>
        </w:rPr>
        <w:t xml:space="preserve">alle </w:t>
      </w:r>
      <w:r w:rsidR="00D0340B" w:rsidRPr="005238C3">
        <w:rPr>
          <w:rFonts w:ascii="Calibri" w:hAnsi="Calibri"/>
        </w:rPr>
        <w:t>singol</w:t>
      </w:r>
      <w:r w:rsidR="00D0340B">
        <w:rPr>
          <w:rFonts w:ascii="Calibri" w:hAnsi="Calibri"/>
        </w:rPr>
        <w:t>e</w:t>
      </w:r>
      <w:r w:rsidR="00D0340B" w:rsidRPr="005238C3">
        <w:rPr>
          <w:rFonts w:ascii="Calibri" w:hAnsi="Calibri"/>
        </w:rPr>
        <w:t xml:space="preserve"> amministrazion</w:t>
      </w:r>
      <w:r w:rsidR="00D0340B">
        <w:rPr>
          <w:rFonts w:ascii="Calibri" w:hAnsi="Calibri"/>
        </w:rPr>
        <w:t>i</w:t>
      </w:r>
      <w:r w:rsidR="00D0340B" w:rsidRPr="005238C3">
        <w:rPr>
          <w:rFonts w:ascii="Calibri" w:hAnsi="Calibri"/>
        </w:rPr>
        <w:t xml:space="preserve"> comunal</w:t>
      </w:r>
      <w:r w:rsidR="00D0340B">
        <w:rPr>
          <w:rFonts w:ascii="Calibri" w:hAnsi="Calibri"/>
        </w:rPr>
        <w:t>i</w:t>
      </w:r>
      <w:r w:rsidR="006B7E32" w:rsidRPr="005238C3">
        <w:rPr>
          <w:rFonts w:ascii="Calibri" w:hAnsi="Calibri"/>
        </w:rPr>
        <w:t xml:space="preserve">. I risparmi così </w:t>
      </w:r>
      <w:r w:rsidR="0055013F" w:rsidRPr="005238C3">
        <w:rPr>
          <w:rFonts w:ascii="Calibri" w:hAnsi="Calibri"/>
        </w:rPr>
        <w:t>conseguiti</w:t>
      </w:r>
      <w:r w:rsidR="006B7E32" w:rsidRPr="005238C3">
        <w:rPr>
          <w:rFonts w:ascii="Calibri" w:hAnsi="Calibri"/>
        </w:rPr>
        <w:t xml:space="preserve"> sono investiti, quando </w:t>
      </w:r>
      <w:r w:rsidR="00D0340B">
        <w:rPr>
          <w:rFonts w:ascii="Calibri" w:hAnsi="Calibri"/>
        </w:rPr>
        <w:t>ciò corrisponde all’</w:t>
      </w:r>
      <w:r w:rsidR="006B7E32" w:rsidRPr="005238C3">
        <w:rPr>
          <w:rFonts w:ascii="Calibri" w:hAnsi="Calibri"/>
        </w:rPr>
        <w:t>interesse dell’amministrazione</w:t>
      </w:r>
      <w:r w:rsidR="00D0340B">
        <w:rPr>
          <w:rFonts w:ascii="Calibri" w:hAnsi="Calibri"/>
        </w:rPr>
        <w:t xml:space="preserve"> pubblica</w:t>
      </w:r>
      <w:r w:rsidR="006B7E32" w:rsidRPr="005238C3">
        <w:rPr>
          <w:rFonts w:ascii="Calibri" w:hAnsi="Calibri"/>
        </w:rPr>
        <w:t xml:space="preserve">, in interventi </w:t>
      </w:r>
      <w:r w:rsidR="00D0340B">
        <w:rPr>
          <w:rFonts w:ascii="Calibri" w:hAnsi="Calibri"/>
        </w:rPr>
        <w:t>di manutenzione del</w:t>
      </w:r>
      <w:r w:rsidR="006B7E32" w:rsidRPr="005238C3">
        <w:rPr>
          <w:rFonts w:ascii="Calibri" w:hAnsi="Calibri"/>
        </w:rPr>
        <w:t xml:space="preserve"> patrimonio comunale. </w:t>
      </w:r>
    </w:p>
    <w:p w14:paraId="5F3263EE" w14:textId="06CA7128" w:rsidR="0011055C" w:rsidRDefault="006B7E32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</w:rPr>
      </w:pPr>
      <w:r w:rsidRPr="005238C3">
        <w:rPr>
          <w:rFonts w:cstheme="minorHAnsi"/>
        </w:rPr>
        <w:lastRenderedPageBreak/>
        <w:t>Per</w:t>
      </w:r>
      <w:r w:rsidR="0055013F" w:rsidRPr="005238C3">
        <w:rPr>
          <w:rFonts w:cstheme="minorHAnsi"/>
        </w:rPr>
        <w:t xml:space="preserve"> tali ragioni</w:t>
      </w:r>
      <w:r w:rsidR="00D0340B">
        <w:rPr>
          <w:rFonts w:cstheme="minorHAnsi"/>
        </w:rPr>
        <w:t>, si ritiene che</w:t>
      </w:r>
      <w:r w:rsidRPr="005238C3">
        <w:rPr>
          <w:rFonts w:cstheme="minorHAnsi"/>
        </w:rPr>
        <w:t xml:space="preserve"> la proposta di affidamento del servizio presentata dalla società </w:t>
      </w:r>
      <w:r w:rsidR="00D0340B">
        <w:rPr>
          <w:rFonts w:cstheme="minorHAnsi"/>
        </w:rPr>
        <w:t>sia</w:t>
      </w:r>
      <w:r w:rsidR="00D0340B" w:rsidRPr="005238C3">
        <w:rPr>
          <w:rFonts w:cstheme="minorHAnsi"/>
        </w:rPr>
        <w:t xml:space="preserve"> </w:t>
      </w:r>
      <w:r w:rsidRPr="005238C3">
        <w:rPr>
          <w:rFonts w:cstheme="minorHAnsi"/>
        </w:rPr>
        <w:t>adeguata e soddisfacente sul piano tecnico</w:t>
      </w:r>
      <w:r w:rsidR="0055013F" w:rsidRPr="005238C3">
        <w:rPr>
          <w:rFonts w:cstheme="minorHAnsi"/>
        </w:rPr>
        <w:t>-</w:t>
      </w:r>
      <w:r w:rsidRPr="005238C3">
        <w:rPr>
          <w:rFonts w:cstheme="minorHAnsi"/>
        </w:rPr>
        <w:t>economico</w:t>
      </w:r>
      <w:r w:rsidR="00323755" w:rsidRPr="005238C3">
        <w:rPr>
          <w:rFonts w:cstheme="minorHAnsi"/>
        </w:rPr>
        <w:t>.</w:t>
      </w:r>
      <w:bookmarkEnd w:id="1"/>
    </w:p>
    <w:p w14:paraId="1F63C647" w14:textId="77777777" w:rsidR="00640B7C" w:rsidRDefault="00640B7C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</w:rPr>
      </w:pPr>
    </w:p>
    <w:p w14:paraId="36BFF020" w14:textId="2CD6C963" w:rsidR="0011055C" w:rsidRDefault="0011055C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2. Investimenti programmati sulle in</w:t>
      </w:r>
      <w:r w:rsidR="00F2524B">
        <w:rPr>
          <w:rFonts w:cstheme="minorHAnsi"/>
          <w:b/>
          <w:bCs/>
        </w:rPr>
        <w:t>frastrutture strumentali</w:t>
      </w:r>
      <w:r w:rsidR="00CC1E10">
        <w:rPr>
          <w:rFonts w:cstheme="minorHAnsi"/>
          <w:b/>
          <w:bCs/>
        </w:rPr>
        <w:t xml:space="preserve"> del servizio</w:t>
      </w:r>
    </w:p>
    <w:p w14:paraId="6FEDAD17" w14:textId="2F4B58E0" w:rsidR="00401591" w:rsidRDefault="00EE43A2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</w:rPr>
      </w:pPr>
      <w:r>
        <w:rPr>
          <w:rFonts w:cstheme="minorHAnsi"/>
        </w:rPr>
        <w:t>Gli investimenti previsti nell’offerta presentata da Cogeser Servizi per la riqualificazione dell’impianto di illuminazione pubblica presente nel terr</w:t>
      </w:r>
      <w:r w:rsidR="00F11F69">
        <w:rPr>
          <w:rFonts w:cstheme="minorHAnsi"/>
        </w:rPr>
        <w:t xml:space="preserve">itorio </w:t>
      </w:r>
      <w:r w:rsidR="00401591">
        <w:rPr>
          <w:rFonts w:cstheme="minorHAnsi"/>
        </w:rPr>
        <w:t>comunale</w:t>
      </w:r>
      <w:r w:rsidR="00F11F69">
        <w:rPr>
          <w:rFonts w:cstheme="minorHAnsi"/>
        </w:rPr>
        <w:t xml:space="preserve"> sono</w:t>
      </w:r>
      <w:r w:rsidR="00401591">
        <w:rPr>
          <w:rFonts w:cstheme="minorHAnsi"/>
        </w:rPr>
        <w:t xml:space="preserve"> riportati nella</w:t>
      </w:r>
      <w:r w:rsidR="00F11F69">
        <w:rPr>
          <w:rFonts w:cstheme="minorHAnsi"/>
        </w:rPr>
        <w:t xml:space="preserve"> tabella seguente:</w:t>
      </w:r>
    </w:p>
    <w:p w14:paraId="244908E3" w14:textId="77777777" w:rsidR="001E4E2B" w:rsidRDefault="001E4E2B" w:rsidP="00D253D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  <w:b/>
          <w:bCs/>
        </w:rPr>
      </w:pPr>
    </w:p>
    <w:p w14:paraId="760D3443" w14:textId="741140C0" w:rsidR="000305A5" w:rsidRDefault="001E4E2B" w:rsidP="00D253D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  <w:b/>
          <w:bCs/>
        </w:rPr>
      </w:pPr>
      <w:r w:rsidRPr="001E4E2B">
        <w:rPr>
          <w:noProof/>
        </w:rPr>
        <w:drawing>
          <wp:inline distT="0" distB="0" distL="0" distR="0" wp14:anchorId="59EDEA92" wp14:editId="48A5D13B">
            <wp:extent cx="6105525" cy="18954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237A" w14:textId="77777777" w:rsidR="000305A5" w:rsidRDefault="000305A5" w:rsidP="00D253D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  <w:b/>
          <w:bCs/>
        </w:rPr>
      </w:pPr>
    </w:p>
    <w:p w14:paraId="0DF6B382" w14:textId="2B8AC89E" w:rsidR="00D253DD" w:rsidRDefault="00412C2B" w:rsidP="00D253D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</w:t>
      </w:r>
      <w:r w:rsidR="00D253DD">
        <w:rPr>
          <w:rFonts w:cstheme="minorHAnsi"/>
          <w:b/>
          <w:bCs/>
        </w:rPr>
        <w:t>. Caratteristiche e livelli di qualità del servizio</w:t>
      </w:r>
    </w:p>
    <w:p w14:paraId="1B42A17D" w14:textId="23F9F337" w:rsidR="00F2524B" w:rsidRDefault="00D253DD" w:rsidP="005238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 w:line="264" w:lineRule="auto"/>
        <w:jc w:val="both"/>
        <w:rPr>
          <w:rFonts w:cstheme="minorHAnsi"/>
        </w:rPr>
      </w:pPr>
      <w:r>
        <w:rPr>
          <w:rFonts w:cstheme="minorHAnsi"/>
        </w:rPr>
        <w:t>Le caratteristiche tecniche ed operative del servizio e i li</w:t>
      </w:r>
      <w:r w:rsidR="00AD7960">
        <w:rPr>
          <w:rFonts w:cstheme="minorHAnsi"/>
        </w:rPr>
        <w:t xml:space="preserve">velli di qualità offerti dalla società sono elencati </w:t>
      </w:r>
      <w:r w:rsidR="002C1C8A">
        <w:rPr>
          <w:rFonts w:cstheme="minorHAnsi"/>
        </w:rPr>
        <w:t>nell’</w:t>
      </w:r>
      <w:r w:rsidR="002C1C8A" w:rsidRPr="00A21D3F">
        <w:rPr>
          <w:rFonts w:cstheme="minorHAnsi"/>
          <w:b/>
          <w:bCs/>
        </w:rPr>
        <w:t xml:space="preserve">allegato tecnico </w:t>
      </w:r>
      <w:r w:rsidR="00A21D3F" w:rsidRPr="00A21D3F">
        <w:rPr>
          <w:rFonts w:cstheme="minorHAnsi"/>
          <w:b/>
          <w:bCs/>
        </w:rPr>
        <w:t>riguardante</w:t>
      </w:r>
      <w:r w:rsidR="002C1C8A" w:rsidRPr="00A21D3F">
        <w:rPr>
          <w:rFonts w:cstheme="minorHAnsi"/>
          <w:b/>
          <w:bCs/>
        </w:rPr>
        <w:t xml:space="preserve"> </w:t>
      </w:r>
      <w:r w:rsidR="00A21D3F" w:rsidRPr="00A21D3F">
        <w:rPr>
          <w:rFonts w:cstheme="minorHAnsi"/>
          <w:b/>
          <w:bCs/>
        </w:rPr>
        <w:t>l</w:t>
      </w:r>
      <w:r w:rsidR="002C1C8A" w:rsidRPr="00A21D3F">
        <w:rPr>
          <w:rFonts w:cstheme="minorHAnsi"/>
          <w:b/>
          <w:bCs/>
        </w:rPr>
        <w:t xml:space="preserve">e </w:t>
      </w:r>
      <w:r w:rsidR="00656A5F" w:rsidRPr="00A21D3F">
        <w:rPr>
          <w:rFonts w:cstheme="minorHAnsi"/>
          <w:b/>
          <w:bCs/>
        </w:rPr>
        <w:t>Specifiche del Servizio</w:t>
      </w:r>
      <w:r w:rsidR="00656A5F">
        <w:rPr>
          <w:rFonts w:cstheme="minorHAnsi"/>
        </w:rPr>
        <w:t>, che costituisce parte integrante della presente relazione e al quale si rinvia</w:t>
      </w:r>
      <w:r w:rsidR="00247474">
        <w:rPr>
          <w:rFonts w:cstheme="minorHAnsi"/>
        </w:rPr>
        <w:t xml:space="preserve"> per ogni eventuale approfondimento sul piano tecnico</w:t>
      </w:r>
    </w:p>
    <w:sectPr w:rsidR="00F2524B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9E5B" w14:textId="77777777" w:rsidR="00731D79" w:rsidRDefault="00731D79" w:rsidP="003C1B34">
      <w:pPr>
        <w:spacing w:after="0" w:line="240" w:lineRule="auto"/>
      </w:pPr>
      <w:r>
        <w:separator/>
      </w:r>
    </w:p>
  </w:endnote>
  <w:endnote w:type="continuationSeparator" w:id="0">
    <w:p w14:paraId="3FECE5DF" w14:textId="77777777" w:rsidR="00731D79" w:rsidRDefault="00731D79" w:rsidP="003C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7F52" w14:textId="7F3F4FA3" w:rsidR="003C1B34" w:rsidRPr="00856217" w:rsidRDefault="003C1B34" w:rsidP="008562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218E" w14:textId="77777777" w:rsidR="00731D79" w:rsidRDefault="00731D79" w:rsidP="003C1B34">
      <w:pPr>
        <w:spacing w:after="0" w:line="240" w:lineRule="auto"/>
      </w:pPr>
      <w:r>
        <w:separator/>
      </w:r>
    </w:p>
  </w:footnote>
  <w:footnote w:type="continuationSeparator" w:id="0">
    <w:p w14:paraId="2484BD92" w14:textId="77777777" w:rsidR="00731D79" w:rsidRDefault="00731D79" w:rsidP="003C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E8"/>
    <w:multiLevelType w:val="hybridMultilevel"/>
    <w:tmpl w:val="45147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775"/>
    <w:multiLevelType w:val="hybridMultilevel"/>
    <w:tmpl w:val="8014E8BA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E9A6695"/>
    <w:multiLevelType w:val="hybridMultilevel"/>
    <w:tmpl w:val="980221B8"/>
    <w:lvl w:ilvl="0" w:tplc="C37E2EBA">
      <w:numFmt w:val="bullet"/>
      <w:lvlText w:val="-"/>
      <w:lvlJc w:val="left"/>
      <w:pPr>
        <w:ind w:left="1647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96240"/>
    <w:multiLevelType w:val="hybridMultilevel"/>
    <w:tmpl w:val="FF3E75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6E93"/>
    <w:multiLevelType w:val="hybridMultilevel"/>
    <w:tmpl w:val="FB545BC0"/>
    <w:lvl w:ilvl="0" w:tplc="157CA51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67412"/>
    <w:multiLevelType w:val="hybridMultilevel"/>
    <w:tmpl w:val="34E46EB4"/>
    <w:lvl w:ilvl="0" w:tplc="FA40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CC6"/>
    <w:multiLevelType w:val="hybridMultilevel"/>
    <w:tmpl w:val="D1CAE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6311"/>
    <w:multiLevelType w:val="hybridMultilevel"/>
    <w:tmpl w:val="B8982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31840"/>
    <w:multiLevelType w:val="hybridMultilevel"/>
    <w:tmpl w:val="E5FCB30A"/>
    <w:lvl w:ilvl="0" w:tplc="FA40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26888"/>
    <w:multiLevelType w:val="hybridMultilevel"/>
    <w:tmpl w:val="A4E6957E"/>
    <w:lvl w:ilvl="0" w:tplc="FA40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7888"/>
    <w:multiLevelType w:val="hybridMultilevel"/>
    <w:tmpl w:val="92DEF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7F0B"/>
    <w:multiLevelType w:val="hybridMultilevel"/>
    <w:tmpl w:val="39B8B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D148A"/>
    <w:multiLevelType w:val="hybridMultilevel"/>
    <w:tmpl w:val="67BCFEFC"/>
    <w:lvl w:ilvl="0" w:tplc="FA40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163E9"/>
    <w:multiLevelType w:val="hybridMultilevel"/>
    <w:tmpl w:val="769A6604"/>
    <w:lvl w:ilvl="0" w:tplc="0410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694B2C42"/>
    <w:multiLevelType w:val="hybridMultilevel"/>
    <w:tmpl w:val="74347E6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322F7F"/>
    <w:multiLevelType w:val="hybridMultilevel"/>
    <w:tmpl w:val="A93C08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0FFB"/>
    <w:multiLevelType w:val="hybridMultilevel"/>
    <w:tmpl w:val="6A06FB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B662B"/>
    <w:multiLevelType w:val="hybridMultilevel"/>
    <w:tmpl w:val="88B8839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902E5E"/>
    <w:multiLevelType w:val="hybridMultilevel"/>
    <w:tmpl w:val="47AE35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31DE2"/>
    <w:multiLevelType w:val="hybridMultilevel"/>
    <w:tmpl w:val="240EA5C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1519145">
    <w:abstractNumId w:val="15"/>
  </w:num>
  <w:num w:numId="2" w16cid:durableId="1133013305">
    <w:abstractNumId w:val="6"/>
  </w:num>
  <w:num w:numId="3" w16cid:durableId="1687898009">
    <w:abstractNumId w:val="16"/>
  </w:num>
  <w:num w:numId="4" w16cid:durableId="991836829">
    <w:abstractNumId w:val="3"/>
  </w:num>
  <w:num w:numId="5" w16cid:durableId="1937396096">
    <w:abstractNumId w:val="9"/>
  </w:num>
  <w:num w:numId="6" w16cid:durableId="1052463602">
    <w:abstractNumId w:val="19"/>
  </w:num>
  <w:num w:numId="7" w16cid:durableId="1213924946">
    <w:abstractNumId w:val="8"/>
  </w:num>
  <w:num w:numId="8" w16cid:durableId="748042732">
    <w:abstractNumId w:val="12"/>
  </w:num>
  <w:num w:numId="9" w16cid:durableId="1914777899">
    <w:abstractNumId w:val="5"/>
  </w:num>
  <w:num w:numId="10" w16cid:durableId="1354843673">
    <w:abstractNumId w:val="14"/>
  </w:num>
  <w:num w:numId="11" w16cid:durableId="1665276539">
    <w:abstractNumId w:val="17"/>
  </w:num>
  <w:num w:numId="12" w16cid:durableId="503672789">
    <w:abstractNumId w:val="18"/>
  </w:num>
  <w:num w:numId="13" w16cid:durableId="2113084778">
    <w:abstractNumId w:val="11"/>
  </w:num>
  <w:num w:numId="14" w16cid:durableId="1348364883">
    <w:abstractNumId w:val="1"/>
  </w:num>
  <w:num w:numId="15" w16cid:durableId="193076013">
    <w:abstractNumId w:val="13"/>
  </w:num>
  <w:num w:numId="16" w16cid:durableId="544877957">
    <w:abstractNumId w:val="4"/>
  </w:num>
  <w:num w:numId="17" w16cid:durableId="1954284287">
    <w:abstractNumId w:val="2"/>
  </w:num>
  <w:num w:numId="18" w16cid:durableId="1003362150">
    <w:abstractNumId w:val="10"/>
  </w:num>
  <w:num w:numId="19" w16cid:durableId="839806263">
    <w:abstractNumId w:val="7"/>
  </w:num>
  <w:num w:numId="20" w16cid:durableId="96496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58"/>
    <w:rsid w:val="000039F8"/>
    <w:rsid w:val="00006AB6"/>
    <w:rsid w:val="000305A5"/>
    <w:rsid w:val="00034563"/>
    <w:rsid w:val="00044B3C"/>
    <w:rsid w:val="00044B50"/>
    <w:rsid w:val="000637C4"/>
    <w:rsid w:val="00073469"/>
    <w:rsid w:val="00084296"/>
    <w:rsid w:val="00087C50"/>
    <w:rsid w:val="000B4F34"/>
    <w:rsid w:val="000D7798"/>
    <w:rsid w:val="000E30EA"/>
    <w:rsid w:val="000E4BD5"/>
    <w:rsid w:val="00101C79"/>
    <w:rsid w:val="0011055C"/>
    <w:rsid w:val="00116489"/>
    <w:rsid w:val="001350AE"/>
    <w:rsid w:val="00137061"/>
    <w:rsid w:val="00141A16"/>
    <w:rsid w:val="00143F13"/>
    <w:rsid w:val="001539C4"/>
    <w:rsid w:val="00157CFF"/>
    <w:rsid w:val="0016120B"/>
    <w:rsid w:val="001718C4"/>
    <w:rsid w:val="00172252"/>
    <w:rsid w:val="00187661"/>
    <w:rsid w:val="00187AA7"/>
    <w:rsid w:val="001B6252"/>
    <w:rsid w:val="001D22F6"/>
    <w:rsid w:val="001E2336"/>
    <w:rsid w:val="001E4E2B"/>
    <w:rsid w:val="00201DDC"/>
    <w:rsid w:val="00204911"/>
    <w:rsid w:val="002221ED"/>
    <w:rsid w:val="00231413"/>
    <w:rsid w:val="002379F4"/>
    <w:rsid w:val="00242A37"/>
    <w:rsid w:val="00247474"/>
    <w:rsid w:val="00253D52"/>
    <w:rsid w:val="0026296D"/>
    <w:rsid w:val="00272FD4"/>
    <w:rsid w:val="0028396D"/>
    <w:rsid w:val="00286BD3"/>
    <w:rsid w:val="002C1C8A"/>
    <w:rsid w:val="002C288F"/>
    <w:rsid w:val="002D3EE0"/>
    <w:rsid w:val="002E5859"/>
    <w:rsid w:val="002E5F2F"/>
    <w:rsid w:val="002F4DA6"/>
    <w:rsid w:val="00304877"/>
    <w:rsid w:val="003225E2"/>
    <w:rsid w:val="00323755"/>
    <w:rsid w:val="00330A80"/>
    <w:rsid w:val="00337CBD"/>
    <w:rsid w:val="00340BE8"/>
    <w:rsid w:val="00345766"/>
    <w:rsid w:val="00350D6F"/>
    <w:rsid w:val="0036678E"/>
    <w:rsid w:val="00367489"/>
    <w:rsid w:val="003751BB"/>
    <w:rsid w:val="00383247"/>
    <w:rsid w:val="00384BC6"/>
    <w:rsid w:val="003B17DF"/>
    <w:rsid w:val="003B4794"/>
    <w:rsid w:val="003C1B34"/>
    <w:rsid w:val="003D6064"/>
    <w:rsid w:val="003E0A9F"/>
    <w:rsid w:val="00401591"/>
    <w:rsid w:val="00405538"/>
    <w:rsid w:val="00412C2B"/>
    <w:rsid w:val="00452C8A"/>
    <w:rsid w:val="00454606"/>
    <w:rsid w:val="00486093"/>
    <w:rsid w:val="00487AE5"/>
    <w:rsid w:val="00492096"/>
    <w:rsid w:val="00494B69"/>
    <w:rsid w:val="004B032E"/>
    <w:rsid w:val="004C36AD"/>
    <w:rsid w:val="004C4C69"/>
    <w:rsid w:val="004C5DE7"/>
    <w:rsid w:val="004F2863"/>
    <w:rsid w:val="004F3EF6"/>
    <w:rsid w:val="004F4FA2"/>
    <w:rsid w:val="004F6E41"/>
    <w:rsid w:val="00504350"/>
    <w:rsid w:val="005238C3"/>
    <w:rsid w:val="005301C1"/>
    <w:rsid w:val="0054098E"/>
    <w:rsid w:val="00543F03"/>
    <w:rsid w:val="0055013F"/>
    <w:rsid w:val="00551211"/>
    <w:rsid w:val="00563B40"/>
    <w:rsid w:val="00567EAE"/>
    <w:rsid w:val="00573F3D"/>
    <w:rsid w:val="00593381"/>
    <w:rsid w:val="005E22F0"/>
    <w:rsid w:val="005E301C"/>
    <w:rsid w:val="00602F51"/>
    <w:rsid w:val="00615710"/>
    <w:rsid w:val="00625620"/>
    <w:rsid w:val="00630CE9"/>
    <w:rsid w:val="00631C72"/>
    <w:rsid w:val="00640B7C"/>
    <w:rsid w:val="00656A5F"/>
    <w:rsid w:val="0065762F"/>
    <w:rsid w:val="00665D13"/>
    <w:rsid w:val="00680FC7"/>
    <w:rsid w:val="00681607"/>
    <w:rsid w:val="00695793"/>
    <w:rsid w:val="006B1E21"/>
    <w:rsid w:val="006B7E32"/>
    <w:rsid w:val="006C52DA"/>
    <w:rsid w:val="006E70BC"/>
    <w:rsid w:val="00704EB0"/>
    <w:rsid w:val="007053CA"/>
    <w:rsid w:val="00707D8F"/>
    <w:rsid w:val="00731D79"/>
    <w:rsid w:val="0074038D"/>
    <w:rsid w:val="0074290D"/>
    <w:rsid w:val="00746088"/>
    <w:rsid w:val="007462B0"/>
    <w:rsid w:val="007551E2"/>
    <w:rsid w:val="007B597D"/>
    <w:rsid w:val="007C1FCB"/>
    <w:rsid w:val="007E2602"/>
    <w:rsid w:val="007E780B"/>
    <w:rsid w:val="00813B41"/>
    <w:rsid w:val="008248DC"/>
    <w:rsid w:val="0082631E"/>
    <w:rsid w:val="0083058C"/>
    <w:rsid w:val="008370E8"/>
    <w:rsid w:val="008405A5"/>
    <w:rsid w:val="00856217"/>
    <w:rsid w:val="00857C69"/>
    <w:rsid w:val="00861A2D"/>
    <w:rsid w:val="00861F49"/>
    <w:rsid w:val="00872258"/>
    <w:rsid w:val="008808B7"/>
    <w:rsid w:val="00885EA1"/>
    <w:rsid w:val="00886DAE"/>
    <w:rsid w:val="0089656E"/>
    <w:rsid w:val="008B5D31"/>
    <w:rsid w:val="008D2A61"/>
    <w:rsid w:val="008D7568"/>
    <w:rsid w:val="008D7EAA"/>
    <w:rsid w:val="008E60E0"/>
    <w:rsid w:val="008E7804"/>
    <w:rsid w:val="00902926"/>
    <w:rsid w:val="00921BCA"/>
    <w:rsid w:val="009426B3"/>
    <w:rsid w:val="00942AF6"/>
    <w:rsid w:val="00943C68"/>
    <w:rsid w:val="009459FD"/>
    <w:rsid w:val="0096719B"/>
    <w:rsid w:val="0099064B"/>
    <w:rsid w:val="009C2338"/>
    <w:rsid w:val="009D3835"/>
    <w:rsid w:val="009E25EF"/>
    <w:rsid w:val="00A03B12"/>
    <w:rsid w:val="00A052AC"/>
    <w:rsid w:val="00A21D3F"/>
    <w:rsid w:val="00A23B24"/>
    <w:rsid w:val="00A457B1"/>
    <w:rsid w:val="00A501CB"/>
    <w:rsid w:val="00A773E8"/>
    <w:rsid w:val="00A80B88"/>
    <w:rsid w:val="00A820FD"/>
    <w:rsid w:val="00A965D2"/>
    <w:rsid w:val="00AA7906"/>
    <w:rsid w:val="00AC39D3"/>
    <w:rsid w:val="00AC3D5F"/>
    <w:rsid w:val="00AC46F2"/>
    <w:rsid w:val="00AD7960"/>
    <w:rsid w:val="00AE036C"/>
    <w:rsid w:val="00AF45A7"/>
    <w:rsid w:val="00B14D06"/>
    <w:rsid w:val="00B172EC"/>
    <w:rsid w:val="00B24106"/>
    <w:rsid w:val="00B4488B"/>
    <w:rsid w:val="00B826B1"/>
    <w:rsid w:val="00B87BAB"/>
    <w:rsid w:val="00B9006C"/>
    <w:rsid w:val="00B91AF6"/>
    <w:rsid w:val="00BA52FE"/>
    <w:rsid w:val="00BB3755"/>
    <w:rsid w:val="00BC23F3"/>
    <w:rsid w:val="00BC5C25"/>
    <w:rsid w:val="00BD5139"/>
    <w:rsid w:val="00BD5268"/>
    <w:rsid w:val="00BE31AC"/>
    <w:rsid w:val="00BE7579"/>
    <w:rsid w:val="00C05090"/>
    <w:rsid w:val="00C076EB"/>
    <w:rsid w:val="00C15208"/>
    <w:rsid w:val="00C37CDC"/>
    <w:rsid w:val="00C4484A"/>
    <w:rsid w:val="00C50D68"/>
    <w:rsid w:val="00C5438E"/>
    <w:rsid w:val="00C555CA"/>
    <w:rsid w:val="00C62753"/>
    <w:rsid w:val="00C86C2C"/>
    <w:rsid w:val="00CA26C0"/>
    <w:rsid w:val="00CC1E10"/>
    <w:rsid w:val="00CC39EA"/>
    <w:rsid w:val="00CC5D3D"/>
    <w:rsid w:val="00CD632C"/>
    <w:rsid w:val="00CE146C"/>
    <w:rsid w:val="00D0340B"/>
    <w:rsid w:val="00D20031"/>
    <w:rsid w:val="00D253DD"/>
    <w:rsid w:val="00D30174"/>
    <w:rsid w:val="00D370A0"/>
    <w:rsid w:val="00D50C1E"/>
    <w:rsid w:val="00D6580B"/>
    <w:rsid w:val="00D752EE"/>
    <w:rsid w:val="00D843D1"/>
    <w:rsid w:val="00D900E1"/>
    <w:rsid w:val="00DA3EC7"/>
    <w:rsid w:val="00DA75EC"/>
    <w:rsid w:val="00DB552D"/>
    <w:rsid w:val="00DC12C3"/>
    <w:rsid w:val="00DD125F"/>
    <w:rsid w:val="00DD29ED"/>
    <w:rsid w:val="00DD43A9"/>
    <w:rsid w:val="00DE4D00"/>
    <w:rsid w:val="00DF06FC"/>
    <w:rsid w:val="00DF4397"/>
    <w:rsid w:val="00DF5EB4"/>
    <w:rsid w:val="00DF7E77"/>
    <w:rsid w:val="00E00461"/>
    <w:rsid w:val="00E03254"/>
    <w:rsid w:val="00E11A8E"/>
    <w:rsid w:val="00E14150"/>
    <w:rsid w:val="00E411D8"/>
    <w:rsid w:val="00E8336A"/>
    <w:rsid w:val="00EA4404"/>
    <w:rsid w:val="00EA7EF9"/>
    <w:rsid w:val="00EC12EE"/>
    <w:rsid w:val="00EC5208"/>
    <w:rsid w:val="00EE061A"/>
    <w:rsid w:val="00EE43A2"/>
    <w:rsid w:val="00F042AF"/>
    <w:rsid w:val="00F11F69"/>
    <w:rsid w:val="00F17E43"/>
    <w:rsid w:val="00F206F9"/>
    <w:rsid w:val="00F20B79"/>
    <w:rsid w:val="00F24705"/>
    <w:rsid w:val="00F2524B"/>
    <w:rsid w:val="00F3363D"/>
    <w:rsid w:val="00F447EF"/>
    <w:rsid w:val="00F559EB"/>
    <w:rsid w:val="00F67E11"/>
    <w:rsid w:val="00F77C52"/>
    <w:rsid w:val="00F82548"/>
    <w:rsid w:val="00F869D5"/>
    <w:rsid w:val="00F93991"/>
    <w:rsid w:val="00F972D0"/>
    <w:rsid w:val="00FD1C79"/>
    <w:rsid w:val="00FF7CD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0453"/>
  <w15:docId w15:val="{90253320-4AC0-4863-AD33-404F0B77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338"/>
  </w:style>
  <w:style w:type="paragraph" w:styleId="Titolo1">
    <w:name w:val="heading 1"/>
    <w:basedOn w:val="Normale"/>
    <w:link w:val="Titolo1Carattere"/>
    <w:uiPriority w:val="1"/>
    <w:qFormat/>
    <w:rsid w:val="00487AE5"/>
    <w:pPr>
      <w:widowControl w:val="0"/>
      <w:autoSpaceDE w:val="0"/>
      <w:autoSpaceDN w:val="0"/>
      <w:spacing w:after="0" w:line="240" w:lineRule="auto"/>
      <w:ind w:left="392" w:hanging="172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23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C1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B34"/>
  </w:style>
  <w:style w:type="paragraph" w:styleId="Pidipagina">
    <w:name w:val="footer"/>
    <w:basedOn w:val="Normale"/>
    <w:link w:val="PidipaginaCarattere"/>
    <w:uiPriority w:val="99"/>
    <w:unhideWhenUsed/>
    <w:rsid w:val="003C1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B34"/>
  </w:style>
  <w:style w:type="paragraph" w:styleId="Revisione">
    <w:name w:val="Revision"/>
    <w:hidden/>
    <w:uiPriority w:val="99"/>
    <w:semiHidden/>
    <w:rsid w:val="003D606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87AE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87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7AE5"/>
    <w:rPr>
      <w:rFonts w:ascii="Times New Roman" w:eastAsia="Times New Roman" w:hAnsi="Times New Roman" w:cs="Times New Roman"/>
      <w:sz w:val="23"/>
      <w:szCs w:val="23"/>
    </w:rPr>
  </w:style>
  <w:style w:type="character" w:styleId="Testosegnaposto">
    <w:name w:val="Placeholder Text"/>
    <w:basedOn w:val="Carpredefinitoparagrafo"/>
    <w:uiPriority w:val="99"/>
    <w:semiHidden/>
    <w:rsid w:val="0036678E"/>
    <w:rPr>
      <w:color w:val="808080"/>
    </w:rPr>
  </w:style>
  <w:style w:type="character" w:styleId="Collegamentoipertestuale">
    <w:name w:val="Hyperlink"/>
    <w:rsid w:val="00262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greteria.bellinzagolombardo@unioneaddamartesana.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.bellinzagolombardo@pec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une.bellinzagolombard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C1A2A2FCB0429BFC842C21790BEB" ma:contentTypeVersion="13" ma:contentTypeDescription="Create a new document." ma:contentTypeScope="" ma:versionID="8e793c120b5c5f325d8f64ef5f085270">
  <xsd:schema xmlns:xsd="http://www.w3.org/2001/XMLSchema" xmlns:xs="http://www.w3.org/2001/XMLSchema" xmlns:p="http://schemas.microsoft.com/office/2006/metadata/properties" xmlns:ns2="2cd69079-a6e0-4c17-9360-7817d16d152d" xmlns:ns3="222127e6-0403-4dd4-a2bb-a0c0a83e8910" targetNamespace="http://schemas.microsoft.com/office/2006/metadata/properties" ma:root="true" ma:fieldsID="d66fba6ff15cf2bcb9a4f7888d1852ae" ns2:_="" ns3:_="">
    <xsd:import namespace="2cd69079-a6e0-4c17-9360-7817d16d152d"/>
    <xsd:import namespace="222127e6-0403-4dd4-a2bb-a0c0a83e8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9079-a6e0-4c17-9360-7817d16d1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5251df-702b-4371-9d7b-dac744b9e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127e6-0403-4dd4-a2bb-a0c0a83e89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26cdb7-cdd0-409e-b2af-1f243f053e60}" ma:internalName="TaxCatchAll" ma:showField="CatchAllData" ma:web="222127e6-0403-4dd4-a2bb-a0c0a83e8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69079-a6e0-4c17-9360-7817d16d152d">
      <Terms xmlns="http://schemas.microsoft.com/office/infopath/2007/PartnerControls"/>
    </lcf76f155ced4ddcb4097134ff3c332f>
    <TaxCatchAll xmlns="222127e6-0403-4dd4-a2bb-a0c0a83e8910" xsi:nil="true"/>
  </documentManagement>
</p:properties>
</file>

<file path=customXml/itemProps1.xml><?xml version="1.0" encoding="utf-8"?>
<ds:datastoreItem xmlns:ds="http://schemas.openxmlformats.org/officeDocument/2006/customXml" ds:itemID="{90AE9916-D415-46BD-ABA1-3F0C93A62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D6974-F882-45A0-AF27-68656BB31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69079-a6e0-4c17-9360-7817d16d152d"/>
    <ds:schemaRef ds:uri="222127e6-0403-4dd4-a2bb-a0c0a83e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5061-6F85-439D-865E-37ADA097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7DB39-7F01-4E90-B8F3-7F93E7572A39}">
  <ds:schemaRefs>
    <ds:schemaRef ds:uri="http://schemas.microsoft.com/office/2006/metadata/properties"/>
    <ds:schemaRef ds:uri="http://schemas.microsoft.com/office/infopath/2007/PartnerControls"/>
    <ds:schemaRef ds:uri="2cd69079-a6e0-4c17-9360-7817d16d152d"/>
    <ds:schemaRef ds:uri="222127e6-0403-4dd4-a2bb-a0c0a83e89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Menna Danilo</dc:creator>
  <cp:lastModifiedBy>Utente</cp:lastModifiedBy>
  <cp:revision>3</cp:revision>
  <cp:lastPrinted>2023-02-01T14:52:00Z</cp:lastPrinted>
  <dcterms:created xsi:type="dcterms:W3CDTF">2023-03-27T09:44:00Z</dcterms:created>
  <dcterms:modified xsi:type="dcterms:W3CDTF">2023-03-27T11:26:00Z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0x0101001817C1A2A2FCB0429BFC842C21790BEB</vt:lpwstr>
  </property>
  <property fmtid="{D5CDD505-2E9C-101B-9397-08002B2CF9AE}" pid="3" name="MediaServiceImageTags">
    <vt:lpwstr/>
  </property>
</Properties>
</file>