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044" w:rsidRDefault="005B2044">
      <w:pPr>
        <w:spacing w:after="0"/>
        <w:ind w:left="-1440" w:right="10466"/>
      </w:pPr>
      <w:bookmarkStart w:id="0" w:name="_GoBack"/>
      <w:bookmarkEnd w:id="0"/>
    </w:p>
    <w:tbl>
      <w:tblPr>
        <w:tblStyle w:val="TableGrid"/>
        <w:tblW w:w="9505" w:type="dxa"/>
        <w:tblInd w:w="-247" w:type="dxa"/>
        <w:tblCellMar>
          <w:top w:w="4" w:type="dxa"/>
          <w:left w:w="29" w:type="dxa"/>
        </w:tblCellMar>
        <w:tblLook w:val="04A0" w:firstRow="1" w:lastRow="0" w:firstColumn="1" w:lastColumn="0" w:noHBand="0" w:noVBand="1"/>
      </w:tblPr>
      <w:tblGrid>
        <w:gridCol w:w="7505"/>
        <w:gridCol w:w="2000"/>
      </w:tblGrid>
      <w:tr w:rsidR="005B2044">
        <w:trPr>
          <w:trHeight w:val="300"/>
        </w:trPr>
        <w:tc>
          <w:tcPr>
            <w:tcW w:w="9505" w:type="dxa"/>
            <w:gridSpan w:val="2"/>
            <w:tcBorders>
              <w:top w:val="single" w:sz="2" w:space="0" w:color="000000"/>
              <w:left w:val="single" w:sz="2" w:space="0" w:color="000000"/>
              <w:bottom w:val="single" w:sz="2" w:space="0" w:color="000000"/>
              <w:right w:val="single" w:sz="2" w:space="0" w:color="000000"/>
            </w:tcBorders>
          </w:tcPr>
          <w:p w:rsidR="005B2044" w:rsidRDefault="00C2767E">
            <w:pPr>
              <w:ind w:right="33"/>
              <w:jc w:val="center"/>
            </w:pPr>
            <w:r>
              <w:rPr>
                <w:rFonts w:ascii="Arial" w:eastAsia="Arial" w:hAnsi="Arial" w:cs="Arial"/>
                <w:b/>
                <w:sz w:val="24"/>
              </w:rPr>
              <w:t>AREA B</w:t>
            </w:r>
          </w:p>
        </w:tc>
      </w:tr>
      <w:tr w:rsidR="005B2044">
        <w:trPr>
          <w:trHeight w:val="710"/>
        </w:trPr>
        <w:tc>
          <w:tcPr>
            <w:tcW w:w="9505" w:type="dxa"/>
            <w:gridSpan w:val="2"/>
            <w:tcBorders>
              <w:top w:val="single" w:sz="2" w:space="0" w:color="000000"/>
              <w:left w:val="single" w:sz="2" w:space="0" w:color="000000"/>
              <w:bottom w:val="single" w:sz="2" w:space="0" w:color="000000"/>
              <w:right w:val="single" w:sz="2" w:space="0" w:color="000000"/>
            </w:tcBorders>
          </w:tcPr>
          <w:p w:rsidR="005B2044" w:rsidRDefault="00C2767E">
            <w:pPr>
              <w:jc w:val="center"/>
            </w:pPr>
            <w:r>
              <w:rPr>
                <w:rFonts w:ascii="Arial" w:eastAsia="Arial" w:hAnsi="Arial" w:cs="Arial"/>
                <w:sz w:val="24"/>
              </w:rPr>
              <w:t>attività/processo: affidamento diretto in economia dell’esecuzione di lavori, servizi e forniture ex art. 125 co. 8 e 11 (ultimo paragrafo) del Codice dei contratti</w:t>
            </w:r>
          </w:p>
        </w:tc>
      </w:tr>
      <w:tr w:rsidR="005B2044">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5B2044" w:rsidRDefault="00C2767E">
            <w:pPr>
              <w:ind w:right="41"/>
              <w:jc w:val="center"/>
            </w:pPr>
            <w:r>
              <w:rPr>
                <w:rFonts w:ascii="Arial" w:eastAsia="Arial" w:hAnsi="Arial" w:cs="Arial"/>
                <w:b/>
                <w:sz w:val="24"/>
              </w:rPr>
              <w:t xml:space="preserve">1. Valutazione della probabilità </w:t>
            </w:r>
          </w:p>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7"/>
              <w:jc w:val="center"/>
            </w:pPr>
            <w:r>
              <w:rPr>
                <w:rFonts w:ascii="Arial" w:eastAsia="Arial" w:hAnsi="Arial" w:cs="Arial"/>
                <w:b/>
                <w:sz w:val="16"/>
              </w:rPr>
              <w:t xml:space="preserve">Punteggi </w:t>
            </w:r>
          </w:p>
        </w:tc>
      </w:tr>
      <w:tr w:rsidR="005B2044">
        <w:trPr>
          <w:trHeight w:val="216"/>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16"/>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16"/>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30"/>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6"/>
              <w:jc w:val="center"/>
            </w:pPr>
            <w:r>
              <w:rPr>
                <w:rFonts w:ascii="Arial" w:eastAsia="Arial" w:hAnsi="Arial" w:cs="Arial"/>
                <w:b/>
                <w:sz w:val="16"/>
              </w:rPr>
              <w:t>4</w:t>
            </w:r>
          </w:p>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5B2044"/>
        </w:tc>
        <w:tc>
          <w:tcPr>
            <w:tcW w:w="2000" w:type="dxa"/>
            <w:tcBorders>
              <w:top w:val="single" w:sz="2" w:space="0" w:color="000000"/>
              <w:left w:val="single" w:sz="2" w:space="0" w:color="000000"/>
              <w:bottom w:val="single" w:sz="2" w:space="0" w:color="000000"/>
              <w:right w:val="single" w:sz="2" w:space="0" w:color="000000"/>
            </w:tcBorders>
            <w:vAlign w:val="center"/>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16"/>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6"/>
              <w:jc w:val="center"/>
            </w:pPr>
            <w:r>
              <w:rPr>
                <w:rFonts w:ascii="Arial" w:eastAsia="Arial" w:hAnsi="Arial" w:cs="Arial"/>
                <w:b/>
                <w:sz w:val="16"/>
              </w:rPr>
              <w:t>5</w:t>
            </w:r>
          </w:p>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5B2044"/>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16"/>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43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16"/>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16"/>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6"/>
              <w:jc w:val="center"/>
            </w:pPr>
            <w:r>
              <w:rPr>
                <w:rFonts w:ascii="Arial" w:eastAsia="Arial" w:hAnsi="Arial" w:cs="Arial"/>
                <w:b/>
                <w:sz w:val="16"/>
              </w:rPr>
              <w:t>1</w:t>
            </w:r>
          </w:p>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5B2044"/>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16"/>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3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6"/>
              <w:jc w:val="center"/>
            </w:pPr>
            <w:r>
              <w:rPr>
                <w:rFonts w:ascii="Arial" w:eastAsia="Arial" w:hAnsi="Arial" w:cs="Arial"/>
                <w:b/>
                <w:sz w:val="16"/>
              </w:rPr>
              <w:t>5</w:t>
            </w:r>
          </w:p>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5B2044"/>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16"/>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653"/>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6"/>
              <w:jc w:val="center"/>
            </w:pPr>
            <w:r>
              <w:rPr>
                <w:rFonts w:ascii="Arial" w:eastAsia="Arial" w:hAnsi="Arial" w:cs="Arial"/>
                <w:b/>
                <w:sz w:val="16"/>
              </w:rPr>
              <w:t>1</w:t>
            </w:r>
          </w:p>
        </w:tc>
      </w:tr>
      <w:tr w:rsidR="005B2044">
        <w:trPr>
          <w:trHeight w:val="158"/>
        </w:trPr>
        <w:tc>
          <w:tcPr>
            <w:tcW w:w="7506" w:type="dxa"/>
            <w:tcBorders>
              <w:top w:val="single" w:sz="2" w:space="0" w:color="000000"/>
              <w:left w:val="single" w:sz="2" w:space="0" w:color="000000"/>
              <w:bottom w:val="single" w:sz="2" w:space="0" w:color="000000"/>
              <w:right w:val="single" w:sz="2" w:space="0" w:color="000000"/>
            </w:tcBorders>
          </w:tcPr>
          <w:p w:rsidR="005B2044" w:rsidRDefault="005B2044"/>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62"/>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vAlign w:val="center"/>
          </w:tcPr>
          <w:p w:rsidR="005B2044" w:rsidRDefault="005B2044"/>
        </w:tc>
      </w:tr>
      <w:tr w:rsidR="005B2044">
        <w:trPr>
          <w:trHeight w:val="43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216"/>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right"/>
            </w:pPr>
            <w:r>
              <w:rPr>
                <w:rFonts w:ascii="Arial" w:eastAsia="Arial" w:hAnsi="Arial" w:cs="Arial"/>
                <w:b/>
                <w:sz w:val="16"/>
              </w:rPr>
              <w:lastRenderedPageBreak/>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6"/>
              <w:jc w:val="center"/>
            </w:pPr>
            <w:r>
              <w:rPr>
                <w:rFonts w:ascii="Arial" w:eastAsia="Arial" w:hAnsi="Arial" w:cs="Arial"/>
                <w:b/>
                <w:sz w:val="16"/>
              </w:rPr>
              <w:t>1</w:t>
            </w:r>
          </w:p>
        </w:tc>
      </w:tr>
      <w:tr w:rsidR="005B2044">
        <w:trPr>
          <w:trHeight w:val="536"/>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5B2044" w:rsidRDefault="00C2767E">
            <w:pPr>
              <w:ind w:right="49"/>
              <w:jc w:val="right"/>
            </w:pPr>
            <w:r>
              <w:rPr>
                <w:rFonts w:ascii="Arial" w:eastAsia="Arial" w:hAnsi="Arial" w:cs="Arial"/>
                <w:b/>
                <w:sz w:val="24"/>
              </w:rPr>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5B2044" w:rsidRDefault="00C2767E">
            <w:pPr>
              <w:ind w:right="32"/>
              <w:jc w:val="center"/>
            </w:pPr>
            <w:r>
              <w:rPr>
                <w:rFonts w:ascii="Arial" w:eastAsia="Arial" w:hAnsi="Arial" w:cs="Arial"/>
                <w:b/>
                <w:sz w:val="24"/>
              </w:rPr>
              <w:t>2,83</w:t>
            </w:r>
          </w:p>
        </w:tc>
      </w:tr>
      <w:tr w:rsidR="005B2044">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5B2044" w:rsidRDefault="00C2767E">
            <w:r>
              <w:rPr>
                <w:rFonts w:ascii="Arial" w:eastAsia="Arial" w:hAnsi="Arial" w:cs="Arial"/>
                <w:sz w:val="16"/>
              </w:rPr>
              <w:t>0 = nessuna probabilità; 1 = improbabile; 2 = poco probabile; 3 = probabile; 4 = molto probabile; 5 = altamente probabile.</w:t>
            </w:r>
          </w:p>
        </w:tc>
      </w:tr>
      <w:tr w:rsidR="005B2044">
        <w:trPr>
          <w:trHeight w:val="1002"/>
        </w:trPr>
        <w:tc>
          <w:tcPr>
            <w:tcW w:w="9505" w:type="dxa"/>
            <w:gridSpan w:val="2"/>
            <w:tcBorders>
              <w:top w:val="single" w:sz="2" w:space="0" w:color="000000"/>
              <w:left w:val="nil"/>
              <w:bottom w:val="nil"/>
              <w:right w:val="nil"/>
            </w:tcBorders>
            <w:shd w:val="clear" w:color="auto" w:fill="FFFFFF"/>
          </w:tcPr>
          <w:p w:rsidR="005B2044" w:rsidRDefault="005B2044"/>
        </w:tc>
      </w:tr>
    </w:tbl>
    <w:p w:rsidR="005B2044" w:rsidRDefault="005B2044">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5B2044">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5B2044" w:rsidRDefault="00C2767E">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087"/>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6"/>
              <w:jc w:val="center"/>
            </w:pPr>
            <w:r>
              <w:rPr>
                <w:rFonts w:ascii="Arial" w:eastAsia="Arial" w:hAnsi="Arial" w:cs="Arial"/>
                <w:b/>
                <w:sz w:val="16"/>
              </w:rPr>
              <w:t>1</w:t>
            </w:r>
          </w:p>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5B2044"/>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75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6"/>
              <w:jc w:val="center"/>
            </w:pPr>
            <w:r>
              <w:rPr>
                <w:rFonts w:ascii="Arial" w:eastAsia="Arial" w:hAnsi="Arial" w:cs="Arial"/>
                <w:b/>
                <w:sz w:val="16"/>
              </w:rPr>
              <w:t>1</w:t>
            </w:r>
          </w:p>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5B2044"/>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3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6"/>
              <w:jc w:val="center"/>
            </w:pPr>
            <w:r>
              <w:rPr>
                <w:rFonts w:ascii="Arial" w:eastAsia="Arial" w:hAnsi="Arial" w:cs="Arial"/>
                <w:b/>
                <w:sz w:val="16"/>
              </w:rPr>
              <w:t>1</w:t>
            </w:r>
          </w:p>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5B2044"/>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521"/>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r>
              <w:rPr>
                <w:rFonts w:ascii="Arial" w:eastAsia="Arial" w:hAnsi="Arial" w:cs="Arial"/>
                <w:sz w:val="16"/>
              </w:rPr>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5B2044" w:rsidRDefault="005B2044"/>
        </w:tc>
      </w:tr>
      <w:tr w:rsidR="005B2044">
        <w:trPr>
          <w:trHeight w:val="194"/>
        </w:trPr>
        <w:tc>
          <w:tcPr>
            <w:tcW w:w="7506" w:type="dxa"/>
            <w:tcBorders>
              <w:top w:val="single" w:sz="2" w:space="0" w:color="000000"/>
              <w:left w:val="single" w:sz="2" w:space="0" w:color="000000"/>
              <w:bottom w:val="single" w:sz="2" w:space="0" w:color="000000"/>
              <w:right w:val="single" w:sz="2" w:space="0" w:color="000000"/>
            </w:tcBorders>
          </w:tcPr>
          <w:p w:rsidR="005B2044" w:rsidRDefault="00C2767E">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5B2044" w:rsidRDefault="00C2767E">
            <w:pPr>
              <w:ind w:right="26"/>
              <w:jc w:val="center"/>
            </w:pPr>
            <w:r>
              <w:rPr>
                <w:rFonts w:ascii="Arial" w:eastAsia="Arial" w:hAnsi="Arial" w:cs="Arial"/>
                <w:b/>
                <w:sz w:val="16"/>
              </w:rPr>
              <w:t>3</w:t>
            </w:r>
          </w:p>
        </w:tc>
      </w:tr>
      <w:tr w:rsidR="005B2044">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5B2044" w:rsidRDefault="00C2767E">
            <w:pPr>
              <w:ind w:right="46"/>
              <w:jc w:val="right"/>
            </w:pPr>
            <w:r>
              <w:rPr>
                <w:rFonts w:ascii="Arial" w:eastAsia="Arial" w:hAnsi="Arial" w:cs="Arial"/>
                <w:b/>
                <w:sz w:val="24"/>
              </w:rPr>
              <w:lastRenderedPageBreak/>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5B2044" w:rsidRDefault="00C2767E">
            <w:pPr>
              <w:ind w:right="32"/>
              <w:jc w:val="center"/>
            </w:pPr>
            <w:r>
              <w:rPr>
                <w:rFonts w:ascii="Arial" w:eastAsia="Arial" w:hAnsi="Arial" w:cs="Arial"/>
                <w:b/>
                <w:sz w:val="24"/>
              </w:rPr>
              <w:t>1,50</w:t>
            </w:r>
          </w:p>
        </w:tc>
      </w:tr>
      <w:tr w:rsidR="005B2044">
        <w:trPr>
          <w:trHeight w:val="552"/>
        </w:trPr>
        <w:tc>
          <w:tcPr>
            <w:tcW w:w="7506" w:type="dxa"/>
            <w:tcBorders>
              <w:top w:val="single" w:sz="2" w:space="0" w:color="000000"/>
              <w:left w:val="single" w:sz="2" w:space="0" w:color="000000"/>
              <w:bottom w:val="single" w:sz="2" w:space="0" w:color="000000"/>
              <w:right w:val="nil"/>
            </w:tcBorders>
            <w:vAlign w:val="center"/>
          </w:tcPr>
          <w:p w:rsidR="005B2044" w:rsidRDefault="00C2767E">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5B2044" w:rsidRDefault="005B2044"/>
        </w:tc>
      </w:tr>
      <w:tr w:rsidR="005B2044">
        <w:trPr>
          <w:trHeight w:val="639"/>
        </w:trPr>
        <w:tc>
          <w:tcPr>
            <w:tcW w:w="7506" w:type="dxa"/>
            <w:tcBorders>
              <w:top w:val="single" w:sz="2" w:space="0" w:color="000000"/>
              <w:left w:val="single" w:sz="2" w:space="0" w:color="000000"/>
              <w:bottom w:val="single" w:sz="2" w:space="0" w:color="000000"/>
              <w:right w:val="nil"/>
            </w:tcBorders>
            <w:shd w:val="clear" w:color="auto" w:fill="A6A6A6"/>
            <w:vAlign w:val="center"/>
          </w:tcPr>
          <w:p w:rsidR="005B2044" w:rsidRDefault="00C2767E">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A6A6A6"/>
          </w:tcPr>
          <w:p w:rsidR="005B2044" w:rsidRDefault="005B2044"/>
        </w:tc>
      </w:tr>
      <w:tr w:rsidR="005B2044">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B2044" w:rsidRDefault="00C2767E">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B2044" w:rsidRDefault="00C2767E">
            <w:pPr>
              <w:ind w:right="119"/>
              <w:jc w:val="center"/>
            </w:pPr>
            <w:r>
              <w:rPr>
                <w:rFonts w:ascii="Arial" w:eastAsia="Arial" w:hAnsi="Arial" w:cs="Arial"/>
                <w:b/>
                <w:sz w:val="24"/>
              </w:rPr>
              <w:t>4,25</w:t>
            </w:r>
          </w:p>
        </w:tc>
      </w:tr>
    </w:tbl>
    <w:p w:rsidR="00FA3F70" w:rsidRDefault="00FA3F70"/>
    <w:sectPr w:rsidR="00FA3F70">
      <w:pgSz w:w="11906" w:h="16838"/>
      <w:pgMar w:top="1086"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044"/>
    <w:rsid w:val="005B2044"/>
    <w:rsid w:val="00B52033"/>
    <w:rsid w:val="00C2767E"/>
    <w:rsid w:val="00FA3F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4051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Scheda_5_-_affidamenti_diretti.xlsx</vt:lpstr>
    </vt:vector>
  </TitlesOfParts>
  <Company/>
  <LinksUpToDate>false</LinksUpToDate>
  <CharactersWithSpaces>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Scheda_5_-_affidamenti_diretti.xlsx</dc:title>
  <dc:creator>miriam galbiati</dc:creator>
  <cp:lastModifiedBy>Segretario Comunale</cp:lastModifiedBy>
  <cp:revision>2</cp:revision>
  <dcterms:created xsi:type="dcterms:W3CDTF">2014-01-24T14:29:00Z</dcterms:created>
  <dcterms:modified xsi:type="dcterms:W3CDTF">2014-01-24T14:29:00Z</dcterms:modified>
</cp:coreProperties>
</file>