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9F8" w:rsidRDefault="001619F8">
      <w:pPr>
        <w:spacing w:after="0"/>
        <w:ind w:left="-1440" w:right="10466"/>
      </w:pPr>
      <w:bookmarkStart w:id="0" w:name="_GoBack"/>
      <w:bookmarkEnd w:id="0"/>
    </w:p>
    <w:tbl>
      <w:tblPr>
        <w:tblStyle w:val="TableGrid"/>
        <w:tblW w:w="9505" w:type="dxa"/>
        <w:tblInd w:w="-247" w:type="dxa"/>
        <w:tblCellMar>
          <w:top w:w="7" w:type="dxa"/>
          <w:left w:w="29" w:type="dxa"/>
        </w:tblCellMar>
        <w:tblLook w:val="04A0" w:firstRow="1" w:lastRow="0" w:firstColumn="1" w:lastColumn="0" w:noHBand="0" w:noVBand="1"/>
      </w:tblPr>
      <w:tblGrid>
        <w:gridCol w:w="7505"/>
        <w:gridCol w:w="2000"/>
      </w:tblGrid>
      <w:tr w:rsidR="001619F8">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1619F8" w:rsidRDefault="004B7903">
            <w:pPr>
              <w:ind w:right="31"/>
              <w:jc w:val="center"/>
            </w:pPr>
            <w:r>
              <w:rPr>
                <w:rFonts w:ascii="Arial" w:eastAsia="Arial" w:hAnsi="Arial" w:cs="Arial"/>
                <w:b/>
                <w:sz w:val="24"/>
              </w:rPr>
              <w:t>AREA E</w:t>
            </w:r>
          </w:p>
        </w:tc>
      </w:tr>
      <w:tr w:rsidR="001619F8">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1619F8" w:rsidRDefault="004B7903">
            <w:pPr>
              <w:ind w:right="35"/>
              <w:jc w:val="center"/>
            </w:pPr>
            <w:r>
              <w:rPr>
                <w:rFonts w:ascii="Arial" w:eastAsia="Arial" w:hAnsi="Arial" w:cs="Arial"/>
                <w:sz w:val="24"/>
              </w:rPr>
              <w:t>Gestione delle sanzioni per violazione CDS</w:t>
            </w:r>
          </w:p>
        </w:tc>
      </w:tr>
      <w:tr w:rsidR="001619F8">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1619F8" w:rsidRDefault="004B7903">
            <w:pPr>
              <w:ind w:right="41"/>
              <w:jc w:val="center"/>
            </w:pPr>
            <w:r>
              <w:rPr>
                <w:rFonts w:ascii="Arial" w:eastAsia="Arial" w:hAnsi="Arial" w:cs="Arial"/>
                <w:b/>
                <w:sz w:val="24"/>
              </w:rPr>
              <w:t xml:space="preserve">1. Valutazione della probabilità </w:t>
            </w:r>
          </w:p>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7"/>
              <w:jc w:val="center"/>
            </w:pPr>
            <w:r>
              <w:rPr>
                <w:rFonts w:ascii="Arial" w:eastAsia="Arial" w:hAnsi="Arial" w:cs="Arial"/>
                <w:b/>
                <w:sz w:val="16"/>
              </w:rPr>
              <w:t xml:space="preserve">Punteggi </w:t>
            </w:r>
          </w:p>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30"/>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vAlign w:val="bottom"/>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2</w:t>
            </w:r>
          </w:p>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5</w:t>
            </w:r>
          </w:p>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43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1</w:t>
            </w:r>
          </w:p>
        </w:tc>
      </w:tr>
      <w:tr w:rsidR="001619F8">
        <w:trPr>
          <w:trHeight w:val="194"/>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vAlign w:val="bottom"/>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vAlign w:val="center"/>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43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3</w:t>
            </w:r>
          </w:p>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653"/>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1</w:t>
            </w:r>
          </w:p>
        </w:tc>
      </w:tr>
      <w:tr w:rsidR="001619F8">
        <w:trPr>
          <w:trHeight w:val="158"/>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62"/>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43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vAlign w:val="center"/>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lastRenderedPageBreak/>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1</w:t>
            </w:r>
          </w:p>
        </w:tc>
      </w:tr>
      <w:tr w:rsidR="001619F8">
        <w:trPr>
          <w:trHeight w:val="535"/>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619F8" w:rsidRDefault="004B7903">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1619F8" w:rsidRDefault="004B7903">
            <w:pPr>
              <w:ind w:right="32"/>
              <w:jc w:val="center"/>
            </w:pPr>
            <w:r>
              <w:rPr>
                <w:rFonts w:ascii="Arial" w:eastAsia="Arial" w:hAnsi="Arial" w:cs="Arial"/>
                <w:b/>
                <w:sz w:val="24"/>
              </w:rPr>
              <w:t>2,17</w:t>
            </w:r>
          </w:p>
        </w:tc>
      </w:tr>
      <w:tr w:rsidR="001619F8">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1619F8" w:rsidRDefault="004B7903">
            <w:r>
              <w:rPr>
                <w:rFonts w:ascii="Arial" w:eastAsia="Arial" w:hAnsi="Arial" w:cs="Arial"/>
                <w:sz w:val="16"/>
              </w:rPr>
              <w:t>0 = nessuna probabilità; 1 = improbabile; 2 = poco probabile; 3 = probabile; 4 = molto probabile; 5 = altamente probabile.</w:t>
            </w:r>
          </w:p>
        </w:tc>
      </w:tr>
      <w:tr w:rsidR="001619F8">
        <w:trPr>
          <w:trHeight w:val="1002"/>
        </w:trPr>
        <w:tc>
          <w:tcPr>
            <w:tcW w:w="9505" w:type="dxa"/>
            <w:gridSpan w:val="2"/>
            <w:tcBorders>
              <w:top w:val="single" w:sz="2" w:space="0" w:color="000000"/>
              <w:left w:val="nil"/>
              <w:bottom w:val="nil"/>
              <w:right w:val="nil"/>
            </w:tcBorders>
            <w:shd w:val="clear" w:color="auto" w:fill="FFFFFF"/>
          </w:tcPr>
          <w:p w:rsidR="001619F8" w:rsidRDefault="001619F8"/>
        </w:tc>
      </w:tr>
    </w:tbl>
    <w:p w:rsidR="001619F8" w:rsidRDefault="001619F8">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1619F8">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1619F8" w:rsidRDefault="004B7903">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1087"/>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vAlign w:val="center"/>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2</w:t>
            </w:r>
          </w:p>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75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1</w:t>
            </w:r>
          </w:p>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vAlign w:val="center"/>
          </w:tcPr>
          <w:p w:rsidR="001619F8" w:rsidRDefault="001619F8"/>
        </w:tc>
      </w:tr>
      <w:tr w:rsidR="001619F8">
        <w:trPr>
          <w:trHeight w:val="434"/>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1</w:t>
            </w:r>
          </w:p>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1619F8"/>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521"/>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1619F8" w:rsidRDefault="004B7903">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r>
              <w:rPr>
                <w:rFonts w:ascii="Arial" w:eastAsia="Arial" w:hAnsi="Arial" w:cs="Arial"/>
                <w:sz w:val="16"/>
              </w:rPr>
              <w:lastRenderedPageBreak/>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1619F8" w:rsidRDefault="001619F8"/>
        </w:tc>
      </w:tr>
      <w:tr w:rsidR="001619F8">
        <w:trPr>
          <w:trHeight w:val="216"/>
        </w:trPr>
        <w:tc>
          <w:tcPr>
            <w:tcW w:w="7506" w:type="dxa"/>
            <w:tcBorders>
              <w:top w:val="single" w:sz="2" w:space="0" w:color="000000"/>
              <w:left w:val="single" w:sz="2" w:space="0" w:color="000000"/>
              <w:bottom w:val="single" w:sz="2" w:space="0" w:color="000000"/>
              <w:right w:val="single" w:sz="2" w:space="0" w:color="000000"/>
            </w:tcBorders>
          </w:tcPr>
          <w:p w:rsidR="001619F8" w:rsidRDefault="004B7903">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1619F8" w:rsidRDefault="004B7903">
            <w:pPr>
              <w:ind w:right="26"/>
              <w:jc w:val="center"/>
            </w:pPr>
            <w:r>
              <w:rPr>
                <w:rFonts w:ascii="Arial" w:eastAsia="Arial" w:hAnsi="Arial" w:cs="Arial"/>
                <w:b/>
                <w:sz w:val="16"/>
              </w:rPr>
              <w:t>3</w:t>
            </w:r>
          </w:p>
        </w:tc>
      </w:tr>
      <w:tr w:rsidR="001619F8">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1619F8" w:rsidRDefault="004B7903">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1619F8" w:rsidRDefault="004B7903">
            <w:pPr>
              <w:ind w:right="32"/>
              <w:jc w:val="center"/>
            </w:pPr>
            <w:r>
              <w:rPr>
                <w:rFonts w:ascii="Arial" w:eastAsia="Arial" w:hAnsi="Arial" w:cs="Arial"/>
                <w:b/>
                <w:sz w:val="24"/>
              </w:rPr>
              <w:t>1,75</w:t>
            </w:r>
          </w:p>
        </w:tc>
      </w:tr>
      <w:tr w:rsidR="001619F8">
        <w:trPr>
          <w:trHeight w:val="552"/>
        </w:trPr>
        <w:tc>
          <w:tcPr>
            <w:tcW w:w="7506" w:type="dxa"/>
            <w:tcBorders>
              <w:top w:val="single" w:sz="2" w:space="0" w:color="000000"/>
              <w:left w:val="single" w:sz="2" w:space="0" w:color="000000"/>
              <w:bottom w:val="single" w:sz="2" w:space="0" w:color="000000"/>
              <w:right w:val="nil"/>
            </w:tcBorders>
            <w:vAlign w:val="center"/>
          </w:tcPr>
          <w:p w:rsidR="001619F8" w:rsidRDefault="004B7903">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1619F8" w:rsidRDefault="001619F8"/>
        </w:tc>
      </w:tr>
      <w:tr w:rsidR="001619F8">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1619F8" w:rsidRDefault="004B7903">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1619F8" w:rsidRDefault="001619F8"/>
        </w:tc>
      </w:tr>
      <w:tr w:rsidR="001619F8">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619F8" w:rsidRDefault="004B7903">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1619F8" w:rsidRDefault="004B7903">
            <w:pPr>
              <w:ind w:right="119"/>
              <w:jc w:val="center"/>
            </w:pPr>
            <w:r>
              <w:rPr>
                <w:rFonts w:ascii="Arial" w:eastAsia="Arial" w:hAnsi="Arial" w:cs="Arial"/>
                <w:b/>
                <w:sz w:val="24"/>
              </w:rPr>
              <w:t>3,79</w:t>
            </w:r>
          </w:p>
        </w:tc>
      </w:tr>
    </w:tbl>
    <w:p w:rsidR="00A64287" w:rsidRDefault="00A64287"/>
    <w:sectPr w:rsidR="00A64287">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9F8"/>
    <w:rsid w:val="001619F8"/>
    <w:rsid w:val="0044599D"/>
    <w:rsid w:val="004B7903"/>
    <w:rsid w:val="00A642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3947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Scheda_11_-_sanzioni_CDS.xlsx</vt:lpstr>
    </vt:vector>
  </TitlesOfParts>
  <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Scheda_11_-_sanzioni_CDS.xlsx</dc:title>
  <dc:creator>miriam galbiati</dc:creator>
  <cp:lastModifiedBy>Segretario Comunale</cp:lastModifiedBy>
  <cp:revision>2</cp:revision>
  <dcterms:created xsi:type="dcterms:W3CDTF">2014-01-24T14:31:00Z</dcterms:created>
  <dcterms:modified xsi:type="dcterms:W3CDTF">2014-01-24T14:31:00Z</dcterms:modified>
</cp:coreProperties>
</file>