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780" w:rsidRDefault="00013780">
      <w:pPr>
        <w:spacing w:after="0"/>
        <w:ind w:left="-1440" w:right="10466"/>
      </w:pPr>
      <w:bookmarkStart w:id="0" w:name="_GoBack"/>
      <w:bookmarkEnd w:id="0"/>
    </w:p>
    <w:tbl>
      <w:tblPr>
        <w:tblStyle w:val="TableGrid"/>
        <w:tblW w:w="9505" w:type="dxa"/>
        <w:tblInd w:w="-247" w:type="dxa"/>
        <w:tblCellMar>
          <w:top w:w="7" w:type="dxa"/>
          <w:left w:w="29" w:type="dxa"/>
        </w:tblCellMar>
        <w:tblLook w:val="04A0" w:firstRow="1" w:lastRow="0" w:firstColumn="1" w:lastColumn="0" w:noHBand="0" w:noVBand="1"/>
      </w:tblPr>
      <w:tblGrid>
        <w:gridCol w:w="7505"/>
        <w:gridCol w:w="2000"/>
      </w:tblGrid>
      <w:tr w:rsidR="00013780">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013780" w:rsidRDefault="001869CD">
            <w:pPr>
              <w:ind w:right="33"/>
              <w:jc w:val="center"/>
            </w:pPr>
            <w:r>
              <w:rPr>
                <w:rFonts w:ascii="Arial" w:eastAsia="Arial" w:hAnsi="Arial" w:cs="Arial"/>
                <w:b/>
                <w:sz w:val="24"/>
              </w:rPr>
              <w:t>AREA D</w:t>
            </w:r>
          </w:p>
        </w:tc>
      </w:tr>
      <w:tr w:rsidR="00013780">
        <w:trPr>
          <w:trHeight w:val="710"/>
        </w:trPr>
        <w:tc>
          <w:tcPr>
            <w:tcW w:w="9505" w:type="dxa"/>
            <w:gridSpan w:val="2"/>
            <w:tcBorders>
              <w:top w:val="single" w:sz="2" w:space="0" w:color="000000"/>
              <w:left w:val="single" w:sz="2" w:space="0" w:color="000000"/>
              <w:bottom w:val="single" w:sz="2" w:space="0" w:color="000000"/>
              <w:right w:val="single" w:sz="2" w:space="0" w:color="000000"/>
            </w:tcBorders>
          </w:tcPr>
          <w:p w:rsidR="00013780" w:rsidRDefault="001869CD">
            <w:pPr>
              <w:jc w:val="center"/>
            </w:pPr>
            <w:r>
              <w:rPr>
                <w:rFonts w:ascii="Arial" w:eastAsia="Arial" w:hAnsi="Arial" w:cs="Arial"/>
                <w:sz w:val="24"/>
              </w:rPr>
              <w:t>concessione ed erogazione di sovvenzioni, contributi, sussidi, ausili finanziari, nonché attribuzione di vantaggi economici di qualunque genere</w:t>
            </w:r>
          </w:p>
        </w:tc>
      </w:tr>
      <w:tr w:rsidR="00013780">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013780" w:rsidRDefault="001869CD">
            <w:pPr>
              <w:ind w:right="41"/>
              <w:jc w:val="center"/>
            </w:pPr>
            <w:r>
              <w:rPr>
                <w:rFonts w:ascii="Arial" w:eastAsia="Arial" w:hAnsi="Arial" w:cs="Arial"/>
                <w:b/>
                <w:sz w:val="24"/>
              </w:rPr>
              <w:t xml:space="preserve">1. Valutazione della probabilità </w:t>
            </w:r>
          </w:p>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7"/>
              <w:jc w:val="center"/>
            </w:pPr>
            <w:r>
              <w:rPr>
                <w:rFonts w:ascii="Arial" w:eastAsia="Arial" w:hAnsi="Arial" w:cs="Arial"/>
                <w:b/>
                <w:sz w:val="16"/>
              </w:rPr>
              <w:t xml:space="preserve">Punteggi </w:t>
            </w:r>
          </w:p>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30"/>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4</w:t>
            </w:r>
          </w:p>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5</w:t>
            </w:r>
          </w:p>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43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1</w:t>
            </w:r>
          </w:p>
        </w:tc>
      </w:tr>
      <w:tr w:rsidR="00013780">
        <w:trPr>
          <w:trHeight w:val="194"/>
        </w:trPr>
        <w:tc>
          <w:tcPr>
            <w:tcW w:w="7506" w:type="dxa"/>
            <w:tcBorders>
              <w:top w:val="single" w:sz="2" w:space="0" w:color="000000"/>
              <w:left w:val="single" w:sz="2" w:space="0" w:color="000000"/>
              <w:bottom w:val="single" w:sz="2" w:space="0" w:color="000000"/>
              <w:right w:val="single" w:sz="2" w:space="0" w:color="000000"/>
            </w:tcBorders>
            <w:vAlign w:val="center"/>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43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3</w:t>
            </w:r>
          </w:p>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653"/>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vAlign w:val="bottom"/>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1</w:t>
            </w:r>
          </w:p>
        </w:tc>
      </w:tr>
      <w:tr w:rsidR="00013780">
        <w:trPr>
          <w:trHeight w:val="158"/>
        </w:trPr>
        <w:tc>
          <w:tcPr>
            <w:tcW w:w="7506" w:type="dxa"/>
            <w:tcBorders>
              <w:top w:val="single" w:sz="2" w:space="0" w:color="000000"/>
              <w:left w:val="single" w:sz="2" w:space="0" w:color="000000"/>
              <w:bottom w:val="single" w:sz="2" w:space="0" w:color="000000"/>
              <w:right w:val="single" w:sz="2" w:space="0" w:color="000000"/>
            </w:tcBorders>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62"/>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43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lastRenderedPageBreak/>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1</w:t>
            </w:r>
          </w:p>
        </w:tc>
      </w:tr>
      <w:tr w:rsidR="00013780">
        <w:trPr>
          <w:trHeight w:val="535"/>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13780" w:rsidRDefault="001869CD">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13780" w:rsidRDefault="001869CD">
            <w:pPr>
              <w:ind w:right="32"/>
              <w:jc w:val="center"/>
            </w:pPr>
            <w:r>
              <w:rPr>
                <w:rFonts w:ascii="Arial" w:eastAsia="Arial" w:hAnsi="Arial" w:cs="Arial"/>
                <w:b/>
                <w:sz w:val="24"/>
              </w:rPr>
              <w:t>2,50</w:t>
            </w:r>
          </w:p>
        </w:tc>
      </w:tr>
      <w:tr w:rsidR="00013780">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013780" w:rsidRDefault="001869CD">
            <w:r>
              <w:rPr>
                <w:rFonts w:ascii="Arial" w:eastAsia="Arial" w:hAnsi="Arial" w:cs="Arial"/>
                <w:sz w:val="16"/>
              </w:rPr>
              <w:t>0 = nessuna probabilità; 1 = improbabile; 2 = poco probabile; 3 = probabile; 4 = molto probabile; 5 = altamente probabile.</w:t>
            </w:r>
          </w:p>
        </w:tc>
      </w:tr>
      <w:tr w:rsidR="00013780">
        <w:trPr>
          <w:trHeight w:val="1002"/>
        </w:trPr>
        <w:tc>
          <w:tcPr>
            <w:tcW w:w="9505" w:type="dxa"/>
            <w:gridSpan w:val="2"/>
            <w:tcBorders>
              <w:top w:val="single" w:sz="2" w:space="0" w:color="000000"/>
              <w:left w:val="nil"/>
              <w:bottom w:val="nil"/>
              <w:right w:val="nil"/>
            </w:tcBorders>
            <w:shd w:val="clear" w:color="auto" w:fill="FFFFFF"/>
          </w:tcPr>
          <w:p w:rsidR="00013780" w:rsidRDefault="00013780"/>
        </w:tc>
      </w:tr>
    </w:tbl>
    <w:p w:rsidR="00013780" w:rsidRDefault="00013780">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013780">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013780" w:rsidRDefault="001869CD">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1087"/>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1</w:t>
            </w:r>
          </w:p>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vAlign w:val="center"/>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75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1</w:t>
            </w:r>
          </w:p>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434"/>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1</w:t>
            </w:r>
          </w:p>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013780"/>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521"/>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013780" w:rsidRDefault="001869CD">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r>
              <w:rPr>
                <w:rFonts w:ascii="Arial" w:eastAsia="Arial" w:hAnsi="Arial" w:cs="Arial"/>
                <w:sz w:val="16"/>
              </w:rPr>
              <w:lastRenderedPageBreak/>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013780" w:rsidRDefault="00013780"/>
        </w:tc>
      </w:tr>
      <w:tr w:rsidR="00013780">
        <w:trPr>
          <w:trHeight w:val="216"/>
        </w:trPr>
        <w:tc>
          <w:tcPr>
            <w:tcW w:w="7506" w:type="dxa"/>
            <w:tcBorders>
              <w:top w:val="single" w:sz="2" w:space="0" w:color="000000"/>
              <w:left w:val="single" w:sz="2" w:space="0" w:color="000000"/>
              <w:bottom w:val="single" w:sz="2" w:space="0" w:color="000000"/>
              <w:right w:val="single" w:sz="2" w:space="0" w:color="000000"/>
            </w:tcBorders>
          </w:tcPr>
          <w:p w:rsidR="00013780" w:rsidRDefault="001869C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013780" w:rsidRDefault="001869CD">
            <w:pPr>
              <w:ind w:right="26"/>
              <w:jc w:val="center"/>
            </w:pPr>
            <w:r>
              <w:rPr>
                <w:rFonts w:ascii="Arial" w:eastAsia="Arial" w:hAnsi="Arial" w:cs="Arial"/>
                <w:b/>
                <w:sz w:val="16"/>
              </w:rPr>
              <w:t>3</w:t>
            </w:r>
          </w:p>
        </w:tc>
      </w:tr>
      <w:tr w:rsidR="00013780">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013780" w:rsidRDefault="001869CD">
            <w:pPr>
              <w:ind w:right="46"/>
              <w:jc w:val="right"/>
            </w:pPr>
            <w:r>
              <w:rPr>
                <w:rFonts w:ascii="Arial" w:eastAsia="Arial" w:hAnsi="Arial" w:cs="Arial"/>
                <w:b/>
                <w:sz w:val="24"/>
              </w:rPr>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013780" w:rsidRDefault="001869CD">
            <w:pPr>
              <w:ind w:right="32"/>
              <w:jc w:val="center"/>
            </w:pPr>
            <w:r>
              <w:rPr>
                <w:rFonts w:ascii="Arial" w:eastAsia="Arial" w:hAnsi="Arial" w:cs="Arial"/>
                <w:b/>
                <w:sz w:val="24"/>
              </w:rPr>
              <w:t>1,50</w:t>
            </w:r>
          </w:p>
        </w:tc>
      </w:tr>
      <w:tr w:rsidR="00013780">
        <w:trPr>
          <w:trHeight w:val="552"/>
        </w:trPr>
        <w:tc>
          <w:tcPr>
            <w:tcW w:w="7506" w:type="dxa"/>
            <w:tcBorders>
              <w:top w:val="single" w:sz="2" w:space="0" w:color="000000"/>
              <w:left w:val="single" w:sz="2" w:space="0" w:color="000000"/>
              <w:bottom w:val="single" w:sz="2" w:space="0" w:color="000000"/>
              <w:right w:val="nil"/>
            </w:tcBorders>
            <w:vAlign w:val="center"/>
          </w:tcPr>
          <w:p w:rsidR="00013780" w:rsidRDefault="001869CD">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013780" w:rsidRDefault="00013780"/>
        </w:tc>
      </w:tr>
      <w:tr w:rsidR="00013780">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013780" w:rsidRDefault="001869CD">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013780" w:rsidRDefault="00013780"/>
        </w:tc>
      </w:tr>
      <w:tr w:rsidR="00013780">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13780" w:rsidRDefault="001869CD">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013780" w:rsidRDefault="001869CD">
            <w:pPr>
              <w:ind w:right="119"/>
              <w:jc w:val="center"/>
            </w:pPr>
            <w:r>
              <w:rPr>
                <w:rFonts w:ascii="Arial" w:eastAsia="Arial" w:hAnsi="Arial" w:cs="Arial"/>
                <w:b/>
                <w:sz w:val="24"/>
              </w:rPr>
              <w:t>3,75</w:t>
            </w:r>
          </w:p>
        </w:tc>
      </w:tr>
    </w:tbl>
    <w:p w:rsidR="009A6010" w:rsidRDefault="009A6010"/>
    <w:sectPr w:rsidR="009A6010">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780"/>
    <w:rsid w:val="00013780"/>
    <w:rsid w:val="001869CD"/>
    <w:rsid w:val="009A6010"/>
    <w:rsid w:val="00B73E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707</Words>
  <Characters>4033</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Scheda_8_-_contributi_e_sovvenzioni.xlsx</vt:lpstr>
    </vt:vector>
  </TitlesOfParts>
  <Company/>
  <LinksUpToDate>false</LinksUpToDate>
  <CharactersWithSpaces>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Scheda_8_-_contributi_e_sovvenzioni.xlsx</dc:title>
  <dc:creator>miriam galbiati</dc:creator>
  <cp:lastModifiedBy>Segretario Comunale</cp:lastModifiedBy>
  <cp:revision>2</cp:revision>
  <dcterms:created xsi:type="dcterms:W3CDTF">2014-01-24T14:30:00Z</dcterms:created>
  <dcterms:modified xsi:type="dcterms:W3CDTF">2014-01-24T14:30:00Z</dcterms:modified>
</cp:coreProperties>
</file>